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86" w:rsidRPr="00026A86" w:rsidRDefault="00F344A7" w:rsidP="00F34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Целевые </w:t>
      </w:r>
      <w:r w:rsidR="00026A86" w:rsidRPr="00026A86">
        <w:rPr>
          <w:b/>
          <w:sz w:val="28"/>
          <w:szCs w:val="28"/>
        </w:rPr>
        <w:t xml:space="preserve">индикаторы по </w:t>
      </w:r>
      <w:r>
        <w:rPr>
          <w:b/>
          <w:sz w:val="28"/>
          <w:szCs w:val="28"/>
        </w:rPr>
        <w:t xml:space="preserve">городскому округу </w:t>
      </w:r>
      <w:r w:rsidR="00026A86" w:rsidRPr="00026A86">
        <w:rPr>
          <w:b/>
          <w:sz w:val="28"/>
          <w:szCs w:val="28"/>
        </w:rPr>
        <w:t>«Город Кизилюрт» за 2018 г</w:t>
      </w:r>
      <w:r>
        <w:rPr>
          <w:b/>
          <w:sz w:val="28"/>
          <w:szCs w:val="28"/>
        </w:rPr>
        <w:t>од</w:t>
      </w:r>
    </w:p>
    <w:tbl>
      <w:tblPr>
        <w:tblpPr w:leftFromText="180" w:rightFromText="180" w:vertAnchor="text" w:horzAnchor="margin" w:tblpY="529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69"/>
        <w:gridCol w:w="1560"/>
        <w:gridCol w:w="4536"/>
      </w:tblGrid>
      <w:tr w:rsidR="001F60E2" w:rsidRPr="00122EF8" w:rsidTr="00CF38FB">
        <w:trPr>
          <w:trHeight w:val="629"/>
        </w:trPr>
        <w:tc>
          <w:tcPr>
            <w:tcW w:w="675" w:type="dxa"/>
          </w:tcPr>
          <w:p w:rsidR="001F60E2" w:rsidRPr="00122EF8" w:rsidRDefault="001F60E2" w:rsidP="00CF38FB">
            <w:pPr>
              <w:jc w:val="center"/>
              <w:rPr>
                <w:b/>
                <w:sz w:val="24"/>
                <w:szCs w:val="24"/>
              </w:rPr>
            </w:pPr>
            <w:r w:rsidRPr="00122EF8">
              <w:rPr>
                <w:b/>
                <w:sz w:val="24"/>
                <w:szCs w:val="24"/>
              </w:rPr>
              <w:t>№</w:t>
            </w:r>
          </w:p>
          <w:p w:rsidR="001F60E2" w:rsidRPr="00122EF8" w:rsidRDefault="001F60E2" w:rsidP="00CF38F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22EF8">
              <w:rPr>
                <w:b/>
                <w:sz w:val="24"/>
                <w:szCs w:val="24"/>
              </w:rPr>
              <w:t>п</w:t>
            </w:r>
            <w:proofErr w:type="gramEnd"/>
            <w:r w:rsidRPr="00122EF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1F60E2" w:rsidRPr="00122EF8" w:rsidRDefault="001F60E2" w:rsidP="00CF38FB">
            <w:pPr>
              <w:jc w:val="center"/>
              <w:rPr>
                <w:b/>
                <w:sz w:val="24"/>
                <w:szCs w:val="24"/>
              </w:rPr>
            </w:pPr>
            <w:r w:rsidRPr="00122EF8">
              <w:rPr>
                <w:rFonts w:eastAsia="HiddenHorzOCR"/>
                <w:b/>
                <w:sz w:val="24"/>
                <w:szCs w:val="24"/>
              </w:rPr>
              <w:t>Наименование контрольного показателя</w:t>
            </w:r>
          </w:p>
        </w:tc>
        <w:tc>
          <w:tcPr>
            <w:tcW w:w="1560" w:type="dxa"/>
          </w:tcPr>
          <w:p w:rsidR="00122EF8" w:rsidRDefault="00FC102A" w:rsidP="00CF38FB">
            <w:pPr>
              <w:jc w:val="center"/>
              <w:rPr>
                <w:rFonts w:eastAsia="HiddenHorzOCR"/>
                <w:b/>
                <w:sz w:val="24"/>
                <w:szCs w:val="24"/>
              </w:rPr>
            </w:pPr>
            <w:r w:rsidRPr="00122EF8">
              <w:rPr>
                <w:rFonts w:eastAsia="HiddenHorzOCR"/>
                <w:b/>
                <w:sz w:val="24"/>
                <w:szCs w:val="24"/>
              </w:rPr>
              <w:t xml:space="preserve">Значение </w:t>
            </w:r>
            <w:r w:rsidR="00122EF8">
              <w:rPr>
                <w:rFonts w:eastAsia="HiddenHorzOCR"/>
                <w:b/>
                <w:sz w:val="24"/>
                <w:szCs w:val="24"/>
              </w:rPr>
              <w:t>показателей</w:t>
            </w:r>
          </w:p>
          <w:p w:rsidR="001F60E2" w:rsidRPr="00122EF8" w:rsidRDefault="00FC102A" w:rsidP="00ED2A5B">
            <w:pPr>
              <w:jc w:val="center"/>
              <w:rPr>
                <w:b/>
                <w:sz w:val="24"/>
                <w:szCs w:val="24"/>
              </w:rPr>
            </w:pPr>
            <w:r w:rsidRPr="00122EF8">
              <w:rPr>
                <w:rFonts w:eastAsia="HiddenHorzOCR"/>
                <w:b/>
                <w:sz w:val="24"/>
                <w:szCs w:val="24"/>
              </w:rPr>
              <w:t>201</w:t>
            </w:r>
            <w:r w:rsidR="00ED2A5B">
              <w:rPr>
                <w:rFonts w:eastAsia="HiddenHorzOCR"/>
                <w:b/>
                <w:sz w:val="24"/>
                <w:szCs w:val="24"/>
              </w:rPr>
              <w:t>8</w:t>
            </w:r>
            <w:r w:rsidRPr="00122EF8">
              <w:rPr>
                <w:rFonts w:eastAsia="HiddenHorzOCR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</w:tcPr>
          <w:p w:rsidR="001F60E2" w:rsidRPr="00122EF8" w:rsidRDefault="00FC102A" w:rsidP="00CF38FB">
            <w:pPr>
              <w:jc w:val="center"/>
              <w:rPr>
                <w:b/>
                <w:sz w:val="24"/>
                <w:szCs w:val="24"/>
              </w:rPr>
            </w:pPr>
            <w:r w:rsidRPr="00122EF8">
              <w:rPr>
                <w:b/>
                <w:sz w:val="24"/>
                <w:szCs w:val="24"/>
              </w:rPr>
              <w:t>Примечание</w:t>
            </w:r>
          </w:p>
        </w:tc>
      </w:tr>
      <w:tr w:rsidR="001F60E2" w:rsidRPr="00122EF8" w:rsidTr="00CF38FB">
        <w:tc>
          <w:tcPr>
            <w:tcW w:w="675" w:type="dxa"/>
          </w:tcPr>
          <w:p w:rsidR="001F60E2" w:rsidRPr="00026A86" w:rsidRDefault="001F60E2" w:rsidP="00026A86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F60E2" w:rsidRPr="00122EF8" w:rsidRDefault="001F60E2" w:rsidP="00CF38FB">
            <w:pPr>
              <w:rPr>
                <w:sz w:val="24"/>
                <w:szCs w:val="24"/>
              </w:rPr>
            </w:pPr>
            <w:r w:rsidRPr="00122EF8">
              <w:rPr>
                <w:rFonts w:eastAsia="HiddenHorzOCR"/>
                <w:sz w:val="24"/>
                <w:szCs w:val="24"/>
              </w:rPr>
              <w:t>Количество малых и средних предприятий в расчете на 1 тысячу человек населения</w:t>
            </w:r>
          </w:p>
        </w:tc>
        <w:tc>
          <w:tcPr>
            <w:tcW w:w="1560" w:type="dxa"/>
            <w:vAlign w:val="center"/>
          </w:tcPr>
          <w:p w:rsidR="001F60E2" w:rsidRPr="00122EF8" w:rsidRDefault="00837D26" w:rsidP="00122EF8">
            <w:pPr>
              <w:jc w:val="center"/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9,</w:t>
            </w:r>
            <w:r w:rsidR="009E5E6D">
              <w:rPr>
                <w:sz w:val="24"/>
                <w:szCs w:val="24"/>
              </w:rPr>
              <w:t>41</w:t>
            </w:r>
          </w:p>
        </w:tc>
        <w:tc>
          <w:tcPr>
            <w:tcW w:w="4536" w:type="dxa"/>
          </w:tcPr>
          <w:p w:rsidR="001F60E2" w:rsidRPr="00122EF8" w:rsidRDefault="00441A3D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 xml:space="preserve">На </w:t>
            </w:r>
            <w:r w:rsidR="00E44CAA" w:rsidRPr="00122EF8">
              <w:rPr>
                <w:sz w:val="24"/>
                <w:szCs w:val="24"/>
              </w:rPr>
              <w:t xml:space="preserve">территории муниципального образования осуществляют деятельность </w:t>
            </w:r>
            <w:r w:rsidR="009E5E6D">
              <w:rPr>
                <w:sz w:val="24"/>
                <w:szCs w:val="24"/>
              </w:rPr>
              <w:t>1038</w:t>
            </w:r>
            <w:r w:rsidR="002A60B5" w:rsidRPr="00122EF8">
              <w:rPr>
                <w:sz w:val="24"/>
                <w:szCs w:val="24"/>
              </w:rPr>
              <w:t xml:space="preserve"> субъекта малого и среднего предпринимательства (</w:t>
            </w:r>
            <w:r w:rsidR="009E5E6D">
              <w:rPr>
                <w:sz w:val="24"/>
                <w:szCs w:val="24"/>
              </w:rPr>
              <w:t>453</w:t>
            </w:r>
            <w:r w:rsidR="002A60B5" w:rsidRPr="00122EF8">
              <w:rPr>
                <w:sz w:val="24"/>
                <w:szCs w:val="24"/>
              </w:rPr>
              <w:t>хозяйственных общества</w:t>
            </w:r>
            <w:r w:rsidR="00E44CAA" w:rsidRPr="00122EF8">
              <w:rPr>
                <w:sz w:val="24"/>
                <w:szCs w:val="24"/>
              </w:rPr>
              <w:t xml:space="preserve"> и </w:t>
            </w:r>
            <w:r w:rsidR="009E5E6D">
              <w:rPr>
                <w:sz w:val="24"/>
                <w:szCs w:val="24"/>
              </w:rPr>
              <w:t>605</w:t>
            </w:r>
            <w:r w:rsidR="00E44CAA" w:rsidRPr="00122EF8">
              <w:rPr>
                <w:sz w:val="24"/>
                <w:szCs w:val="24"/>
              </w:rPr>
              <w:t xml:space="preserve"> индивидуальных предпринимателей</w:t>
            </w:r>
            <w:r w:rsidRPr="00122EF8">
              <w:rPr>
                <w:sz w:val="24"/>
                <w:szCs w:val="24"/>
              </w:rPr>
              <w:t>)</w:t>
            </w:r>
            <w:r w:rsidR="00DE2CC4" w:rsidRPr="00122EF8">
              <w:rPr>
                <w:sz w:val="24"/>
                <w:szCs w:val="24"/>
              </w:rPr>
              <w:t xml:space="preserve">, в том числе </w:t>
            </w:r>
            <w:r w:rsidR="000443E8" w:rsidRPr="00122EF8">
              <w:rPr>
                <w:sz w:val="24"/>
                <w:szCs w:val="24"/>
              </w:rPr>
              <w:t xml:space="preserve"> </w:t>
            </w:r>
            <w:r w:rsidR="00DE2CC4" w:rsidRPr="00122EF8">
              <w:rPr>
                <w:sz w:val="24"/>
                <w:szCs w:val="24"/>
              </w:rPr>
              <w:t>за</w:t>
            </w:r>
            <w:r w:rsidR="000443E8" w:rsidRPr="00122EF8">
              <w:rPr>
                <w:sz w:val="24"/>
                <w:szCs w:val="24"/>
              </w:rPr>
              <w:t xml:space="preserve"> 201</w:t>
            </w:r>
            <w:r w:rsidR="009E5E6D">
              <w:rPr>
                <w:sz w:val="24"/>
                <w:szCs w:val="24"/>
              </w:rPr>
              <w:t>8</w:t>
            </w:r>
            <w:r w:rsidR="000443E8" w:rsidRPr="00122EF8">
              <w:rPr>
                <w:sz w:val="24"/>
                <w:szCs w:val="24"/>
              </w:rPr>
              <w:t xml:space="preserve"> год</w:t>
            </w:r>
            <w:r w:rsidR="00DE2CC4" w:rsidRPr="00122EF8">
              <w:rPr>
                <w:sz w:val="24"/>
                <w:szCs w:val="24"/>
              </w:rPr>
              <w:t xml:space="preserve"> </w:t>
            </w:r>
            <w:r w:rsidR="000443E8" w:rsidRPr="00122EF8">
              <w:rPr>
                <w:sz w:val="24"/>
                <w:szCs w:val="24"/>
              </w:rPr>
              <w:t xml:space="preserve"> регистрацию в налоговом органе прошли дополнительно  </w:t>
            </w:r>
            <w:r w:rsidR="009E5E6D" w:rsidRPr="009E5E6D">
              <w:rPr>
                <w:sz w:val="24"/>
                <w:szCs w:val="24"/>
              </w:rPr>
              <w:t>149</w:t>
            </w:r>
            <w:r w:rsidR="000443E8" w:rsidRPr="009E5E6D">
              <w:rPr>
                <w:sz w:val="24"/>
                <w:szCs w:val="24"/>
              </w:rPr>
              <w:t xml:space="preserve"> </w:t>
            </w:r>
            <w:r w:rsidR="00DA52C9" w:rsidRPr="009E5E6D">
              <w:rPr>
                <w:sz w:val="24"/>
                <w:szCs w:val="24"/>
              </w:rPr>
              <w:t>су</w:t>
            </w:r>
            <w:r w:rsidR="00DA52C9" w:rsidRPr="00122EF8">
              <w:rPr>
                <w:sz w:val="24"/>
                <w:szCs w:val="24"/>
              </w:rPr>
              <w:t xml:space="preserve">бъектов бизнеса. </w:t>
            </w:r>
            <w:r w:rsidR="00DE2CC4" w:rsidRPr="00122EF8">
              <w:rPr>
                <w:sz w:val="24"/>
                <w:szCs w:val="24"/>
              </w:rPr>
              <w:t xml:space="preserve">При этом в категорию малые и средние предприятия </w:t>
            </w:r>
            <w:r w:rsidR="008436AC" w:rsidRPr="00122EF8">
              <w:rPr>
                <w:sz w:val="24"/>
                <w:szCs w:val="24"/>
              </w:rPr>
              <w:t>подпадают 45</w:t>
            </w:r>
            <w:r w:rsidR="009E5E6D">
              <w:rPr>
                <w:sz w:val="24"/>
                <w:szCs w:val="24"/>
              </w:rPr>
              <w:t>3</w:t>
            </w:r>
            <w:r w:rsidR="008436AC" w:rsidRPr="00122EF8">
              <w:rPr>
                <w:sz w:val="24"/>
                <w:szCs w:val="24"/>
              </w:rPr>
              <w:t xml:space="preserve"> </w:t>
            </w:r>
            <w:proofErr w:type="gramStart"/>
            <w:r w:rsidR="00837D26" w:rsidRPr="00122EF8">
              <w:rPr>
                <w:sz w:val="24"/>
                <w:szCs w:val="24"/>
              </w:rPr>
              <w:t>хозяйственных</w:t>
            </w:r>
            <w:proofErr w:type="gramEnd"/>
            <w:r w:rsidR="00837D26" w:rsidRPr="00122EF8">
              <w:rPr>
                <w:sz w:val="24"/>
                <w:szCs w:val="24"/>
              </w:rPr>
              <w:t xml:space="preserve"> общества.</w:t>
            </w:r>
          </w:p>
          <w:p w:rsidR="00DA52C9" w:rsidRPr="00122EF8" w:rsidRDefault="00DA52C9" w:rsidP="009E5E6D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В расчете на 1 тыс. населения</w:t>
            </w:r>
            <w:r w:rsidR="009E5E6D">
              <w:rPr>
                <w:sz w:val="24"/>
                <w:szCs w:val="24"/>
              </w:rPr>
              <w:t xml:space="preserve"> (среднегодовая численность 48058 </w:t>
            </w:r>
            <w:r w:rsidR="007338EC" w:rsidRPr="00122EF8">
              <w:rPr>
                <w:sz w:val="24"/>
                <w:szCs w:val="24"/>
              </w:rPr>
              <w:t xml:space="preserve"> чел.)</w:t>
            </w:r>
            <w:r w:rsidRPr="00122EF8">
              <w:rPr>
                <w:sz w:val="24"/>
                <w:szCs w:val="24"/>
              </w:rPr>
              <w:t xml:space="preserve"> количество малых и средних предприятий составит</w:t>
            </w:r>
            <w:r w:rsidR="00837D26" w:rsidRPr="00122EF8">
              <w:rPr>
                <w:sz w:val="24"/>
                <w:szCs w:val="24"/>
              </w:rPr>
              <w:t xml:space="preserve"> 45</w:t>
            </w:r>
            <w:r w:rsidR="009E5E6D">
              <w:rPr>
                <w:sz w:val="24"/>
                <w:szCs w:val="24"/>
              </w:rPr>
              <w:t>3</w:t>
            </w:r>
            <w:r w:rsidR="00837D26" w:rsidRPr="00122EF8">
              <w:rPr>
                <w:sz w:val="24"/>
                <w:szCs w:val="24"/>
              </w:rPr>
              <w:t>/4</w:t>
            </w:r>
            <w:r w:rsidR="009E5E6D">
              <w:rPr>
                <w:sz w:val="24"/>
                <w:szCs w:val="24"/>
              </w:rPr>
              <w:t>8,1</w:t>
            </w:r>
            <w:r w:rsidR="007338EC" w:rsidRPr="00122EF8">
              <w:rPr>
                <w:sz w:val="24"/>
                <w:szCs w:val="24"/>
              </w:rPr>
              <w:t xml:space="preserve"> </w:t>
            </w:r>
            <w:r w:rsidR="00837D26" w:rsidRPr="00122EF8">
              <w:rPr>
                <w:sz w:val="24"/>
                <w:szCs w:val="24"/>
              </w:rPr>
              <w:t>=9,</w:t>
            </w:r>
            <w:r w:rsidR="009E5E6D">
              <w:rPr>
                <w:sz w:val="24"/>
                <w:szCs w:val="24"/>
              </w:rPr>
              <w:t>41</w:t>
            </w:r>
            <w:r w:rsidR="00837D26" w:rsidRPr="00122EF8">
              <w:rPr>
                <w:sz w:val="24"/>
                <w:szCs w:val="24"/>
              </w:rPr>
              <w:t xml:space="preserve"> малых и средних предприятия.</w:t>
            </w:r>
          </w:p>
        </w:tc>
      </w:tr>
      <w:tr w:rsidR="001F60E2" w:rsidRPr="00122EF8" w:rsidTr="00CF38FB">
        <w:tc>
          <w:tcPr>
            <w:tcW w:w="675" w:type="dxa"/>
          </w:tcPr>
          <w:p w:rsidR="001F60E2" w:rsidRPr="00026A86" w:rsidRDefault="001F60E2" w:rsidP="00026A86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F60E2" w:rsidRPr="00122EF8" w:rsidRDefault="001F60E2" w:rsidP="00CF38FB">
            <w:pPr>
              <w:rPr>
                <w:sz w:val="24"/>
                <w:szCs w:val="24"/>
              </w:rPr>
            </w:pPr>
            <w:r w:rsidRPr="00122EF8">
              <w:rPr>
                <w:rFonts w:eastAsia="HiddenHorzOCR"/>
                <w:sz w:val="24"/>
                <w:szCs w:val="24"/>
              </w:rPr>
              <w:t>Оборот товаров (работ, услуг), производимых на малых и средних предприятиях, млн. рублей</w:t>
            </w:r>
          </w:p>
        </w:tc>
        <w:tc>
          <w:tcPr>
            <w:tcW w:w="1560" w:type="dxa"/>
            <w:vAlign w:val="center"/>
          </w:tcPr>
          <w:p w:rsidR="001F60E2" w:rsidRPr="00095A7E" w:rsidRDefault="00E46990" w:rsidP="00095A7E">
            <w:pPr>
              <w:jc w:val="center"/>
              <w:rPr>
                <w:sz w:val="24"/>
                <w:szCs w:val="24"/>
              </w:rPr>
            </w:pPr>
            <w:r w:rsidRPr="00095A7E">
              <w:rPr>
                <w:sz w:val="24"/>
                <w:szCs w:val="24"/>
              </w:rPr>
              <w:t>8</w:t>
            </w:r>
            <w:r w:rsidR="00095A7E" w:rsidRPr="00095A7E">
              <w:rPr>
                <w:sz w:val="24"/>
                <w:szCs w:val="24"/>
              </w:rPr>
              <w:t>3,6</w:t>
            </w:r>
          </w:p>
        </w:tc>
        <w:tc>
          <w:tcPr>
            <w:tcW w:w="4536" w:type="dxa"/>
          </w:tcPr>
          <w:p w:rsidR="00DE515F" w:rsidRPr="00095A7E" w:rsidRDefault="00DE515F" w:rsidP="00095A7E">
            <w:pPr>
              <w:rPr>
                <w:sz w:val="24"/>
                <w:szCs w:val="24"/>
              </w:rPr>
            </w:pPr>
            <w:r w:rsidRPr="00095A7E">
              <w:rPr>
                <w:sz w:val="24"/>
                <w:szCs w:val="24"/>
              </w:rPr>
              <w:t>Оборот розничной торговли в 201</w:t>
            </w:r>
            <w:r w:rsidR="009E5E6D" w:rsidRPr="00095A7E">
              <w:rPr>
                <w:sz w:val="24"/>
                <w:szCs w:val="24"/>
              </w:rPr>
              <w:t>8</w:t>
            </w:r>
            <w:r w:rsidRPr="00095A7E">
              <w:rPr>
                <w:sz w:val="24"/>
                <w:szCs w:val="24"/>
              </w:rPr>
              <w:t xml:space="preserve"> году </w:t>
            </w:r>
            <w:r w:rsidR="008D7CC1" w:rsidRPr="00095A7E">
              <w:rPr>
                <w:sz w:val="24"/>
                <w:szCs w:val="24"/>
              </w:rPr>
              <w:t>сложился на уровне</w:t>
            </w:r>
            <w:r w:rsidRPr="00095A7E">
              <w:rPr>
                <w:sz w:val="24"/>
                <w:szCs w:val="24"/>
              </w:rPr>
              <w:t xml:space="preserve"> </w:t>
            </w:r>
            <w:r w:rsidR="00095A7E" w:rsidRPr="00095A7E">
              <w:rPr>
                <w:sz w:val="24"/>
                <w:szCs w:val="24"/>
              </w:rPr>
              <w:t>13142,</w:t>
            </w:r>
            <w:r w:rsidRPr="00095A7E">
              <w:rPr>
                <w:sz w:val="24"/>
                <w:szCs w:val="24"/>
              </w:rPr>
              <w:t>млн. руб.</w:t>
            </w:r>
            <w:r w:rsidR="008D7CC1" w:rsidRPr="00095A7E">
              <w:rPr>
                <w:sz w:val="24"/>
                <w:szCs w:val="24"/>
              </w:rPr>
              <w:t>, превысив показатели соответствующего периода 201</w:t>
            </w:r>
            <w:r w:rsidR="009E5E6D" w:rsidRPr="00095A7E">
              <w:rPr>
                <w:sz w:val="24"/>
                <w:szCs w:val="24"/>
              </w:rPr>
              <w:t>7</w:t>
            </w:r>
            <w:r w:rsidR="008D7CC1" w:rsidRPr="00095A7E">
              <w:rPr>
                <w:sz w:val="24"/>
                <w:szCs w:val="24"/>
              </w:rPr>
              <w:t xml:space="preserve"> года по данному кругу организаций на </w:t>
            </w:r>
            <w:r w:rsidR="00095A7E" w:rsidRPr="00095A7E">
              <w:rPr>
                <w:sz w:val="24"/>
                <w:szCs w:val="24"/>
              </w:rPr>
              <w:t>1,5</w:t>
            </w:r>
            <w:r w:rsidR="008D7CC1" w:rsidRPr="00095A7E">
              <w:rPr>
                <w:sz w:val="24"/>
                <w:szCs w:val="24"/>
              </w:rPr>
              <w:t xml:space="preserve"> процента</w:t>
            </w:r>
            <w:r w:rsidR="00A31D35" w:rsidRPr="00095A7E">
              <w:rPr>
                <w:sz w:val="24"/>
                <w:szCs w:val="24"/>
              </w:rPr>
              <w:t>.</w:t>
            </w:r>
            <w:r w:rsidR="008D7CC1" w:rsidRPr="00095A7E">
              <w:rPr>
                <w:sz w:val="24"/>
                <w:szCs w:val="24"/>
              </w:rPr>
              <w:t xml:space="preserve"> </w:t>
            </w:r>
            <w:r w:rsidR="008240BB" w:rsidRPr="00095A7E">
              <w:rPr>
                <w:sz w:val="24"/>
                <w:szCs w:val="24"/>
              </w:rPr>
              <w:t xml:space="preserve"> </w:t>
            </w:r>
            <w:r w:rsidR="00E46990" w:rsidRPr="00095A7E">
              <w:rPr>
                <w:sz w:val="24"/>
                <w:szCs w:val="24"/>
              </w:rPr>
              <w:t xml:space="preserve"> Традиционно, наиболее весом вклад в обороте организаций, среднего и малого бизнеса предприятий торговли 83,</w:t>
            </w:r>
            <w:r w:rsidR="00095A7E" w:rsidRPr="00095A7E">
              <w:rPr>
                <w:sz w:val="24"/>
                <w:szCs w:val="24"/>
              </w:rPr>
              <w:t>6</w:t>
            </w:r>
            <w:r w:rsidR="00E46990" w:rsidRPr="00095A7E">
              <w:rPr>
                <w:sz w:val="24"/>
                <w:szCs w:val="24"/>
              </w:rPr>
              <w:t>%.</w:t>
            </w:r>
          </w:p>
        </w:tc>
      </w:tr>
      <w:tr w:rsidR="001F60E2" w:rsidRPr="00122EF8" w:rsidTr="00CF38FB">
        <w:tc>
          <w:tcPr>
            <w:tcW w:w="675" w:type="dxa"/>
          </w:tcPr>
          <w:p w:rsidR="001F60E2" w:rsidRPr="00026A86" w:rsidRDefault="001F60E2" w:rsidP="00026A86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F60E2" w:rsidRPr="00122EF8" w:rsidRDefault="001F60E2" w:rsidP="00CF38FB">
            <w:pPr>
              <w:rPr>
                <w:sz w:val="24"/>
                <w:szCs w:val="24"/>
              </w:rPr>
            </w:pPr>
            <w:r w:rsidRPr="00122EF8">
              <w:rPr>
                <w:rFonts w:eastAsia="HiddenHorzOCR"/>
                <w:sz w:val="24"/>
                <w:szCs w:val="24"/>
              </w:rPr>
              <w:t>Доля заказов на поставку  товаров, выполнение работ, оказание услуг для муниципальных нужд путем проведения аукциона в электронной форме, открытого конкурса, конкурса с ограниченным участием, запроса котировок, запроса предложений, процентов</w:t>
            </w:r>
          </w:p>
        </w:tc>
        <w:tc>
          <w:tcPr>
            <w:tcW w:w="1560" w:type="dxa"/>
            <w:vAlign w:val="center"/>
          </w:tcPr>
          <w:p w:rsidR="001F60E2" w:rsidRPr="00122EF8" w:rsidRDefault="009E5E6D" w:rsidP="00122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536" w:type="dxa"/>
          </w:tcPr>
          <w:p w:rsidR="001F60E2" w:rsidRPr="00122EF8" w:rsidRDefault="001F60E2" w:rsidP="00CF38FB">
            <w:pPr>
              <w:rPr>
                <w:sz w:val="24"/>
                <w:szCs w:val="24"/>
              </w:rPr>
            </w:pPr>
          </w:p>
        </w:tc>
      </w:tr>
      <w:tr w:rsidR="001F60E2" w:rsidRPr="00122EF8" w:rsidTr="00CF38FB">
        <w:tc>
          <w:tcPr>
            <w:tcW w:w="675" w:type="dxa"/>
          </w:tcPr>
          <w:p w:rsidR="001F60E2" w:rsidRPr="00026A86" w:rsidRDefault="001F60E2" w:rsidP="00026A86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F60E2" w:rsidRPr="00122EF8" w:rsidRDefault="001F60E2" w:rsidP="00CF38FB">
            <w:pPr>
              <w:rPr>
                <w:rFonts w:eastAsia="HiddenHorzOCR"/>
                <w:sz w:val="24"/>
                <w:szCs w:val="24"/>
              </w:rPr>
            </w:pPr>
            <w:r w:rsidRPr="00122EF8">
              <w:rPr>
                <w:rFonts w:eastAsia="HiddenHorzOCR"/>
                <w:sz w:val="24"/>
                <w:szCs w:val="24"/>
              </w:rPr>
              <w:t>Доля государственных заказов (по стоимости), размещенных через аукцион в электронной форме, открытый конкурс, конкурс с ограниченным участием, запрос котировок, запрос предложений с участием субъектов малого и среднего предпринимательства от общего числа государственных заказов, процентов</w:t>
            </w:r>
          </w:p>
        </w:tc>
        <w:tc>
          <w:tcPr>
            <w:tcW w:w="1560" w:type="dxa"/>
            <w:vAlign w:val="center"/>
          </w:tcPr>
          <w:p w:rsidR="001F60E2" w:rsidRPr="00122EF8" w:rsidRDefault="009E5E6D" w:rsidP="00122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1F60E2" w:rsidRPr="00122EF8" w:rsidRDefault="001F60E2" w:rsidP="00CF38FB">
            <w:pPr>
              <w:rPr>
                <w:sz w:val="24"/>
                <w:szCs w:val="24"/>
              </w:rPr>
            </w:pPr>
          </w:p>
        </w:tc>
      </w:tr>
      <w:tr w:rsidR="001F60E2" w:rsidRPr="00122EF8" w:rsidTr="00CF38FB">
        <w:trPr>
          <w:trHeight w:val="1261"/>
        </w:trPr>
        <w:tc>
          <w:tcPr>
            <w:tcW w:w="675" w:type="dxa"/>
          </w:tcPr>
          <w:p w:rsidR="001F60E2" w:rsidRPr="00026A86" w:rsidRDefault="001F60E2" w:rsidP="00026A86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F60E2" w:rsidRPr="00122EF8" w:rsidRDefault="001F60E2" w:rsidP="00026A86">
            <w:pPr>
              <w:rPr>
                <w:rFonts w:eastAsia="HiddenHorzOCR"/>
                <w:sz w:val="24"/>
                <w:szCs w:val="24"/>
              </w:rPr>
            </w:pPr>
            <w:r w:rsidRPr="00122EF8">
              <w:rPr>
                <w:rFonts w:eastAsia="HiddenHorzOCR"/>
                <w:sz w:val="24"/>
                <w:szCs w:val="24"/>
              </w:rP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к 201</w:t>
            </w:r>
            <w:r w:rsidR="00026A86">
              <w:rPr>
                <w:rFonts w:eastAsia="HiddenHorzOCR"/>
                <w:sz w:val="24"/>
                <w:szCs w:val="24"/>
              </w:rPr>
              <w:t>7</w:t>
            </w:r>
            <w:r w:rsidRPr="00122EF8">
              <w:rPr>
                <w:rFonts w:eastAsia="HiddenHorzOCR"/>
                <w:sz w:val="24"/>
                <w:szCs w:val="24"/>
              </w:rPr>
              <w:t xml:space="preserve"> году - не менее 3</w:t>
            </w:r>
          </w:p>
        </w:tc>
        <w:tc>
          <w:tcPr>
            <w:tcW w:w="1560" w:type="dxa"/>
          </w:tcPr>
          <w:p w:rsidR="001F60E2" w:rsidRPr="00122EF8" w:rsidRDefault="00026A86" w:rsidP="00122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F60E2" w:rsidRPr="00122EF8" w:rsidRDefault="00E9391C" w:rsidP="009E5E6D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Среднее число участ</w:t>
            </w:r>
            <w:r w:rsidR="00122EF8">
              <w:rPr>
                <w:sz w:val="24"/>
                <w:szCs w:val="24"/>
              </w:rPr>
              <w:t>ников при осуществлении закупок</w:t>
            </w:r>
            <w:r w:rsidR="00BA2805" w:rsidRPr="00122EF8">
              <w:rPr>
                <w:sz w:val="24"/>
                <w:szCs w:val="24"/>
              </w:rPr>
              <w:t xml:space="preserve"> </w:t>
            </w:r>
            <w:r w:rsidRPr="00122EF8">
              <w:rPr>
                <w:sz w:val="24"/>
                <w:szCs w:val="24"/>
              </w:rPr>
              <w:t xml:space="preserve">составило </w:t>
            </w:r>
            <w:r w:rsidR="00BA2805" w:rsidRPr="00122EF8">
              <w:rPr>
                <w:sz w:val="24"/>
                <w:szCs w:val="24"/>
              </w:rPr>
              <w:t xml:space="preserve">- </w:t>
            </w:r>
            <w:r w:rsidR="00026A86">
              <w:rPr>
                <w:sz w:val="24"/>
                <w:szCs w:val="24"/>
              </w:rPr>
              <w:t>3</w:t>
            </w:r>
          </w:p>
        </w:tc>
      </w:tr>
      <w:tr w:rsidR="001F60E2" w:rsidRPr="00122EF8" w:rsidTr="00CF38FB">
        <w:tc>
          <w:tcPr>
            <w:tcW w:w="675" w:type="dxa"/>
          </w:tcPr>
          <w:p w:rsidR="001F60E2" w:rsidRPr="00026A86" w:rsidRDefault="001F60E2" w:rsidP="00026A86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F60E2" w:rsidRPr="00122EF8" w:rsidRDefault="001F60E2" w:rsidP="00CF38FB">
            <w:pPr>
              <w:rPr>
                <w:rFonts w:eastAsia="HiddenHorzOCR"/>
                <w:sz w:val="24"/>
                <w:szCs w:val="24"/>
              </w:rPr>
            </w:pPr>
            <w:r w:rsidRPr="00122EF8">
              <w:rPr>
                <w:rFonts w:eastAsia="HiddenHorzOCR"/>
                <w:sz w:val="24"/>
                <w:szCs w:val="24"/>
              </w:rPr>
              <w:t>Соотношение количества приватизированных в 2013-2018 годах имущественных комплексов  муниципальных  унитарных предприятий и общего числа  муниципальных унитарных предприятий, осуществлявших деятельность в 2013-2018 годах, в муниципальном образовании к 2018 году - не менее 75 процентов</w:t>
            </w:r>
          </w:p>
        </w:tc>
        <w:tc>
          <w:tcPr>
            <w:tcW w:w="1560" w:type="dxa"/>
            <w:vAlign w:val="center"/>
          </w:tcPr>
          <w:p w:rsidR="001F60E2" w:rsidRPr="00122EF8" w:rsidRDefault="001F60E2" w:rsidP="00122EF8">
            <w:pPr>
              <w:jc w:val="center"/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100</w:t>
            </w:r>
          </w:p>
        </w:tc>
        <w:tc>
          <w:tcPr>
            <w:tcW w:w="4536" w:type="dxa"/>
          </w:tcPr>
          <w:p w:rsidR="001F60E2" w:rsidRPr="00122EF8" w:rsidRDefault="00355157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Действующие</w:t>
            </w:r>
            <w:r w:rsidR="00872723" w:rsidRPr="00122EF8">
              <w:rPr>
                <w:sz w:val="24"/>
                <w:szCs w:val="24"/>
              </w:rPr>
              <w:t xml:space="preserve"> ранее </w:t>
            </w:r>
            <w:r w:rsidRPr="00122EF8">
              <w:rPr>
                <w:sz w:val="24"/>
                <w:szCs w:val="24"/>
              </w:rPr>
              <w:t xml:space="preserve"> на подведомственной территории МУПы </w:t>
            </w:r>
            <w:r w:rsidR="009F6717" w:rsidRPr="00122EF8">
              <w:rPr>
                <w:sz w:val="24"/>
                <w:szCs w:val="24"/>
              </w:rPr>
              <w:t>реорганизованы в форме слияния в ОАО и</w:t>
            </w:r>
            <w:r w:rsidR="00580710" w:rsidRPr="00122EF8">
              <w:rPr>
                <w:sz w:val="24"/>
                <w:szCs w:val="24"/>
              </w:rPr>
              <w:t>ли</w:t>
            </w:r>
            <w:r w:rsidR="009F6717" w:rsidRPr="00122EF8">
              <w:rPr>
                <w:sz w:val="24"/>
                <w:szCs w:val="24"/>
              </w:rPr>
              <w:t xml:space="preserve"> ликвидированы</w:t>
            </w:r>
            <w:r w:rsidR="00580710" w:rsidRPr="00122EF8">
              <w:rPr>
                <w:sz w:val="24"/>
                <w:szCs w:val="24"/>
              </w:rPr>
              <w:t>. Имущество унитарных предприятий переданы на условиях концессии.</w:t>
            </w:r>
          </w:p>
        </w:tc>
      </w:tr>
      <w:tr w:rsidR="001F60E2" w:rsidRPr="00122EF8" w:rsidTr="00CF38FB">
        <w:tc>
          <w:tcPr>
            <w:tcW w:w="675" w:type="dxa"/>
          </w:tcPr>
          <w:p w:rsidR="001F60E2" w:rsidRPr="00026A86" w:rsidRDefault="001F60E2" w:rsidP="00026A86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F60E2" w:rsidRPr="00122EF8" w:rsidRDefault="001F60E2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Соотношение числа хозяйственных обществ, акции (доли) которых были полностью приватизированы в 2013-2018 годах, и числа хозяйственных обществ с муниципальным   участием в капитале, осуществлявших деятельность в 2013-2018 годах, в Республике Дагестан к 2018 году - не менее 75 процентов</w:t>
            </w:r>
          </w:p>
        </w:tc>
        <w:tc>
          <w:tcPr>
            <w:tcW w:w="1560" w:type="dxa"/>
            <w:vAlign w:val="center"/>
          </w:tcPr>
          <w:p w:rsidR="001F60E2" w:rsidRPr="00122EF8" w:rsidRDefault="001F60E2" w:rsidP="00122EF8">
            <w:pPr>
              <w:jc w:val="center"/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100</w:t>
            </w:r>
          </w:p>
        </w:tc>
        <w:tc>
          <w:tcPr>
            <w:tcW w:w="4536" w:type="dxa"/>
          </w:tcPr>
          <w:p w:rsidR="001F60E2" w:rsidRPr="00122EF8" w:rsidRDefault="00CC570C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  <w:lang w:eastAsia="en-US"/>
              </w:rPr>
              <w:t xml:space="preserve">Мероприятие исполнено. Показатели эффективности деятельности акционерных обществ, доля государственного участия </w:t>
            </w:r>
            <w:proofErr w:type="gramStart"/>
            <w:r w:rsidRPr="00122EF8">
              <w:rPr>
                <w:sz w:val="24"/>
                <w:szCs w:val="24"/>
                <w:lang w:eastAsia="en-US"/>
              </w:rPr>
              <w:t>МО</w:t>
            </w:r>
            <w:proofErr w:type="gramEnd"/>
            <w:r w:rsidRPr="00122EF8">
              <w:rPr>
                <w:sz w:val="24"/>
                <w:szCs w:val="24"/>
                <w:lang w:eastAsia="en-US"/>
              </w:rPr>
              <w:t xml:space="preserve"> в уставном капитале которых составляет 100% </w:t>
            </w:r>
            <w:r w:rsidR="006B2B1D" w:rsidRPr="00122EF8">
              <w:rPr>
                <w:sz w:val="24"/>
                <w:szCs w:val="24"/>
                <w:lang w:eastAsia="en-US"/>
              </w:rPr>
              <w:t>(ОАО «Водоканалсервис»)</w:t>
            </w:r>
            <w:r w:rsidRPr="00122EF8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1F60E2" w:rsidRPr="00122EF8" w:rsidTr="00CF38FB">
        <w:tc>
          <w:tcPr>
            <w:tcW w:w="675" w:type="dxa"/>
          </w:tcPr>
          <w:p w:rsidR="001F60E2" w:rsidRPr="00026A86" w:rsidRDefault="001F60E2" w:rsidP="00026A86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F60E2" w:rsidRPr="00122EF8" w:rsidRDefault="001F60E2" w:rsidP="00CF38FB">
            <w:pPr>
              <w:rPr>
                <w:rFonts w:eastAsia="HiddenHorzOCR"/>
                <w:sz w:val="24"/>
                <w:szCs w:val="24"/>
              </w:rPr>
            </w:pPr>
            <w:r w:rsidRPr="00122EF8">
              <w:rPr>
                <w:rFonts w:eastAsia="HiddenHorzOCR"/>
                <w:sz w:val="24"/>
                <w:szCs w:val="24"/>
              </w:rPr>
              <w:t>Общее количество заявок, поданных участниками размещения заказов, относящихся к субъектам малого и среднего предпринимательства, при проведении специализированных торгов для субъектов малого предпринимательства, единиц</w:t>
            </w:r>
          </w:p>
        </w:tc>
        <w:tc>
          <w:tcPr>
            <w:tcW w:w="1560" w:type="dxa"/>
            <w:vAlign w:val="center"/>
          </w:tcPr>
          <w:p w:rsidR="001F60E2" w:rsidRPr="00122EF8" w:rsidRDefault="009E5E6D" w:rsidP="00122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4536" w:type="dxa"/>
          </w:tcPr>
          <w:p w:rsidR="001F60E2" w:rsidRPr="00122EF8" w:rsidRDefault="001F60E2" w:rsidP="00CF38FB">
            <w:pPr>
              <w:rPr>
                <w:sz w:val="24"/>
                <w:szCs w:val="24"/>
              </w:rPr>
            </w:pPr>
          </w:p>
        </w:tc>
      </w:tr>
      <w:tr w:rsidR="001F60E2" w:rsidRPr="00122EF8" w:rsidTr="00CF38FB">
        <w:tc>
          <w:tcPr>
            <w:tcW w:w="675" w:type="dxa"/>
          </w:tcPr>
          <w:p w:rsidR="001F60E2" w:rsidRPr="00026A86" w:rsidRDefault="001F60E2" w:rsidP="00026A86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F60E2" w:rsidRPr="00122EF8" w:rsidRDefault="001F60E2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организаций, процентов</w:t>
            </w:r>
          </w:p>
        </w:tc>
        <w:tc>
          <w:tcPr>
            <w:tcW w:w="1560" w:type="dxa"/>
            <w:vAlign w:val="center"/>
          </w:tcPr>
          <w:p w:rsidR="001F60E2" w:rsidRPr="00122EF8" w:rsidRDefault="00095A7E" w:rsidP="00122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4536" w:type="dxa"/>
          </w:tcPr>
          <w:p w:rsidR="00095A7E" w:rsidRPr="00095A7E" w:rsidRDefault="00095A7E" w:rsidP="00095A7E">
            <w:pPr>
              <w:rPr>
                <w:sz w:val="24"/>
                <w:szCs w:val="24"/>
              </w:rPr>
            </w:pPr>
            <w:r w:rsidRPr="00095A7E">
              <w:rPr>
                <w:sz w:val="24"/>
                <w:szCs w:val="24"/>
              </w:rPr>
              <w:t>В</w:t>
            </w:r>
            <w:r w:rsidR="00415A2F" w:rsidRPr="00095A7E">
              <w:rPr>
                <w:sz w:val="24"/>
                <w:szCs w:val="24"/>
              </w:rPr>
              <w:t xml:space="preserve"> 201</w:t>
            </w:r>
            <w:r w:rsidRPr="00095A7E">
              <w:rPr>
                <w:sz w:val="24"/>
                <w:szCs w:val="24"/>
              </w:rPr>
              <w:t>8</w:t>
            </w:r>
            <w:r w:rsidR="00415A2F" w:rsidRPr="00095A7E">
              <w:rPr>
                <w:sz w:val="24"/>
                <w:szCs w:val="24"/>
              </w:rPr>
              <w:t xml:space="preserve"> году введен</w:t>
            </w:r>
            <w:r w:rsidRPr="00095A7E">
              <w:rPr>
                <w:sz w:val="24"/>
                <w:szCs w:val="24"/>
              </w:rPr>
              <w:t xml:space="preserve">ы в эксплуатацию частные дошкольные учреждения «Клубнички» </w:t>
            </w:r>
            <w:proofErr w:type="gramStart"/>
            <w:r w:rsidRPr="00095A7E">
              <w:rPr>
                <w:sz w:val="24"/>
                <w:szCs w:val="24"/>
              </w:rPr>
              <w:t>г</w:t>
            </w:r>
            <w:proofErr w:type="gramEnd"/>
            <w:r w:rsidRPr="00095A7E">
              <w:rPr>
                <w:sz w:val="24"/>
                <w:szCs w:val="24"/>
              </w:rPr>
              <w:t>. Кизилюрт и «Ангелочки» г. Кизилюрт  Численность детей в дошкольных учреждениях достигло 576</w:t>
            </w:r>
          </w:p>
          <w:p w:rsidR="001F60E2" w:rsidRPr="00095A7E" w:rsidRDefault="008A5A5B" w:rsidP="00095A7E">
            <w:pPr>
              <w:rPr>
                <w:sz w:val="24"/>
                <w:szCs w:val="24"/>
              </w:rPr>
            </w:pPr>
            <w:r w:rsidRPr="00095A7E">
              <w:rPr>
                <w:sz w:val="24"/>
                <w:szCs w:val="24"/>
              </w:rPr>
              <w:t xml:space="preserve"> Благодаря этому по сравнению с 20</w:t>
            </w:r>
            <w:r w:rsidR="00095A7E" w:rsidRPr="00095A7E">
              <w:rPr>
                <w:sz w:val="24"/>
                <w:szCs w:val="24"/>
              </w:rPr>
              <w:t>17</w:t>
            </w:r>
            <w:r w:rsidRPr="00095A7E">
              <w:rPr>
                <w:sz w:val="24"/>
                <w:szCs w:val="24"/>
              </w:rPr>
              <w:t xml:space="preserve"> годом произошло увеличение данного показателя на </w:t>
            </w:r>
            <w:r w:rsidR="00095A7E" w:rsidRPr="00095A7E">
              <w:rPr>
                <w:sz w:val="24"/>
                <w:szCs w:val="24"/>
              </w:rPr>
              <w:t>1,5</w:t>
            </w:r>
            <w:r w:rsidR="000E069F" w:rsidRPr="00095A7E">
              <w:rPr>
                <w:sz w:val="24"/>
                <w:szCs w:val="24"/>
              </w:rPr>
              <w:t xml:space="preserve"> процент</w:t>
            </w:r>
            <w:r w:rsidR="00095A7E">
              <w:rPr>
                <w:sz w:val="24"/>
                <w:szCs w:val="24"/>
              </w:rPr>
              <w:t>а</w:t>
            </w:r>
            <w:r w:rsidR="000E069F" w:rsidRPr="00095A7E">
              <w:rPr>
                <w:sz w:val="24"/>
                <w:szCs w:val="24"/>
              </w:rPr>
              <w:t>.</w:t>
            </w:r>
            <w:r w:rsidR="00B055EA" w:rsidRPr="00095A7E">
              <w:rPr>
                <w:sz w:val="24"/>
                <w:szCs w:val="24"/>
              </w:rPr>
              <w:t xml:space="preserve"> Кроме того,  </w:t>
            </w:r>
            <w:r w:rsidR="00DC56B3" w:rsidRPr="00095A7E">
              <w:rPr>
                <w:sz w:val="24"/>
                <w:szCs w:val="24"/>
              </w:rPr>
              <w:t xml:space="preserve"> отделом образования города принято решение  оказывать </w:t>
            </w:r>
            <w:r w:rsidR="00B60E28" w:rsidRPr="00095A7E">
              <w:rPr>
                <w:sz w:val="24"/>
                <w:szCs w:val="24"/>
              </w:rPr>
              <w:t>консультационную и методическую</w:t>
            </w:r>
            <w:r w:rsidR="00DC56B3" w:rsidRPr="00095A7E">
              <w:rPr>
                <w:sz w:val="24"/>
                <w:szCs w:val="24"/>
              </w:rPr>
              <w:t xml:space="preserve"> поддержку  только детским развивающим </w:t>
            </w:r>
            <w:r w:rsidR="00B60E28" w:rsidRPr="00095A7E">
              <w:rPr>
                <w:sz w:val="24"/>
                <w:szCs w:val="24"/>
              </w:rPr>
              <w:t>садам</w:t>
            </w:r>
            <w:r w:rsidR="00DC56B3" w:rsidRPr="00095A7E">
              <w:rPr>
                <w:sz w:val="24"/>
                <w:szCs w:val="24"/>
              </w:rPr>
              <w:t xml:space="preserve">, имеющим лицензию на осуществление образовательной деятельности, что будет способствовать повышению эффективности мер поддержки  </w:t>
            </w:r>
            <w:r w:rsidR="00DC56B3" w:rsidRPr="00095A7E">
              <w:rPr>
                <w:sz w:val="24"/>
                <w:szCs w:val="24"/>
              </w:rPr>
              <w:lastRenderedPageBreak/>
              <w:t xml:space="preserve">лицензированных дошкольных учреждений, повышению качества оказываемых услуг, </w:t>
            </w:r>
            <w:proofErr w:type="gramStart"/>
            <w:r w:rsidR="00DC56B3" w:rsidRPr="00095A7E">
              <w:rPr>
                <w:sz w:val="24"/>
                <w:szCs w:val="24"/>
              </w:rPr>
              <w:t>а</w:t>
            </w:r>
            <w:proofErr w:type="gramEnd"/>
            <w:r w:rsidR="00DC56B3" w:rsidRPr="00095A7E">
              <w:rPr>
                <w:sz w:val="24"/>
                <w:szCs w:val="24"/>
              </w:rPr>
              <w:t xml:space="preserve"> следовательно значительно повысит их  </w:t>
            </w:r>
            <w:r w:rsidR="002443EF" w:rsidRPr="00095A7E">
              <w:rPr>
                <w:sz w:val="24"/>
                <w:szCs w:val="24"/>
              </w:rPr>
              <w:t>конкурентоспособность</w:t>
            </w:r>
            <w:r w:rsidR="00DC56B3" w:rsidRPr="00095A7E">
              <w:rPr>
                <w:sz w:val="24"/>
                <w:szCs w:val="24"/>
              </w:rPr>
              <w:t>.</w:t>
            </w:r>
          </w:p>
        </w:tc>
      </w:tr>
      <w:tr w:rsidR="001F60E2" w:rsidRPr="00122EF8" w:rsidTr="00CF38FB">
        <w:tc>
          <w:tcPr>
            <w:tcW w:w="675" w:type="dxa"/>
          </w:tcPr>
          <w:p w:rsidR="001F60E2" w:rsidRPr="00026A86" w:rsidRDefault="001F60E2" w:rsidP="00026A86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F60E2" w:rsidRPr="00122EF8" w:rsidRDefault="001F60E2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Численность детей в возрасте от 7 до 17 лет, проживающих на территории г</w:t>
            </w:r>
            <w:proofErr w:type="gramStart"/>
            <w:r w:rsidRPr="00122EF8">
              <w:rPr>
                <w:sz w:val="24"/>
                <w:szCs w:val="24"/>
              </w:rPr>
              <w:t>.К</w:t>
            </w:r>
            <w:proofErr w:type="gramEnd"/>
            <w:r w:rsidRPr="00122EF8">
              <w:rPr>
                <w:sz w:val="24"/>
                <w:szCs w:val="24"/>
              </w:rPr>
              <w:t>изилюрт, воспользовавшихся региональным сертификатом на отдых детей и их оздоровление (компенсацией части стоимости путевки по каждому типу организаций отдыха детей и их оздоровления, 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 (приоритет), лагерь с дневным пребыванием, палаточный лагерь, стационарно-оздоровительный лагерь труда и отдыха), процентов</w:t>
            </w:r>
          </w:p>
        </w:tc>
        <w:tc>
          <w:tcPr>
            <w:tcW w:w="1560" w:type="dxa"/>
            <w:vAlign w:val="center"/>
          </w:tcPr>
          <w:p w:rsidR="001F60E2" w:rsidRPr="00122EF8" w:rsidRDefault="001F60E2" w:rsidP="00122EF8">
            <w:pPr>
              <w:jc w:val="center"/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1F60E2" w:rsidRPr="00122EF8" w:rsidRDefault="00945B6E" w:rsidP="00095A7E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В 201</w:t>
            </w:r>
            <w:r w:rsidR="00095A7E">
              <w:rPr>
                <w:sz w:val="24"/>
                <w:szCs w:val="24"/>
              </w:rPr>
              <w:t>8</w:t>
            </w:r>
            <w:r w:rsidRPr="00122EF8">
              <w:rPr>
                <w:sz w:val="24"/>
                <w:szCs w:val="24"/>
              </w:rPr>
              <w:t xml:space="preserve"> году </w:t>
            </w:r>
            <w:r w:rsidR="00095A7E">
              <w:rPr>
                <w:sz w:val="24"/>
                <w:szCs w:val="24"/>
              </w:rPr>
              <w:t>600</w:t>
            </w:r>
            <w:r w:rsidRPr="00122EF8">
              <w:rPr>
                <w:sz w:val="24"/>
                <w:szCs w:val="24"/>
              </w:rPr>
              <w:t xml:space="preserve"> детей города воспользовались сертификатом</w:t>
            </w:r>
            <w:r w:rsidR="00410441" w:rsidRPr="00122EF8">
              <w:rPr>
                <w:sz w:val="24"/>
                <w:szCs w:val="24"/>
              </w:rPr>
              <w:t xml:space="preserve">, что больше уровня прошлого года на </w:t>
            </w:r>
            <w:r w:rsidR="00095A7E">
              <w:rPr>
                <w:sz w:val="24"/>
                <w:szCs w:val="24"/>
              </w:rPr>
              <w:t>1,36</w:t>
            </w:r>
            <w:r w:rsidR="00410441" w:rsidRPr="00122EF8">
              <w:rPr>
                <w:sz w:val="24"/>
                <w:szCs w:val="24"/>
              </w:rPr>
              <w:t>%.</w:t>
            </w:r>
          </w:p>
        </w:tc>
      </w:tr>
      <w:tr w:rsidR="001F60E2" w:rsidRPr="00122EF8" w:rsidTr="00CF38FB">
        <w:tc>
          <w:tcPr>
            <w:tcW w:w="675" w:type="dxa"/>
          </w:tcPr>
          <w:p w:rsidR="001F60E2" w:rsidRPr="00026A86" w:rsidRDefault="001F60E2" w:rsidP="00026A86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F60E2" w:rsidRPr="00122EF8" w:rsidRDefault="001F60E2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территориальных программ обязательного медицинского страхования, процентов (не менее)</w:t>
            </w:r>
          </w:p>
        </w:tc>
        <w:tc>
          <w:tcPr>
            <w:tcW w:w="1560" w:type="dxa"/>
            <w:vAlign w:val="center"/>
          </w:tcPr>
          <w:p w:rsidR="001F60E2" w:rsidRPr="00122EF8" w:rsidRDefault="00AE5BBA" w:rsidP="00122EF8">
            <w:pPr>
              <w:jc w:val="center"/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AE5BBA" w:rsidRPr="00122EF8" w:rsidRDefault="00AE5BBA" w:rsidP="00CF38FB">
            <w:pPr>
              <w:rPr>
                <w:sz w:val="24"/>
                <w:szCs w:val="24"/>
              </w:rPr>
            </w:pPr>
          </w:p>
          <w:p w:rsidR="00AE5BBA" w:rsidRPr="00122EF8" w:rsidRDefault="00AE5BBA" w:rsidP="00CF38FB">
            <w:pPr>
              <w:rPr>
                <w:sz w:val="24"/>
                <w:szCs w:val="24"/>
              </w:rPr>
            </w:pPr>
          </w:p>
          <w:p w:rsidR="00AE5BBA" w:rsidRPr="00122EF8" w:rsidRDefault="00AE5BBA" w:rsidP="00CF38FB">
            <w:pPr>
              <w:rPr>
                <w:sz w:val="24"/>
                <w:szCs w:val="24"/>
              </w:rPr>
            </w:pPr>
          </w:p>
          <w:p w:rsidR="00AE5BBA" w:rsidRPr="00122EF8" w:rsidRDefault="00AE5BBA" w:rsidP="00CF38FB">
            <w:pPr>
              <w:rPr>
                <w:sz w:val="24"/>
                <w:szCs w:val="24"/>
              </w:rPr>
            </w:pPr>
          </w:p>
          <w:p w:rsidR="00AE5BBA" w:rsidRPr="00122EF8" w:rsidRDefault="00AE5BBA" w:rsidP="00CF38FB">
            <w:pPr>
              <w:rPr>
                <w:sz w:val="24"/>
                <w:szCs w:val="24"/>
              </w:rPr>
            </w:pPr>
          </w:p>
          <w:p w:rsidR="001F60E2" w:rsidRPr="00122EF8" w:rsidRDefault="00AE5BBA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 xml:space="preserve">           </w:t>
            </w:r>
          </w:p>
        </w:tc>
      </w:tr>
      <w:tr w:rsidR="001F60E2" w:rsidRPr="00122EF8" w:rsidTr="00CF38FB">
        <w:tc>
          <w:tcPr>
            <w:tcW w:w="675" w:type="dxa"/>
          </w:tcPr>
          <w:p w:rsidR="001F60E2" w:rsidRPr="00026A86" w:rsidRDefault="001F60E2" w:rsidP="00026A86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F60E2" w:rsidRPr="00122EF8" w:rsidRDefault="001F60E2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Доля негосударственных учреждений здравоохранения, участвующих в реализации территориальных программ обязательного медицинского страхования, процентов</w:t>
            </w:r>
          </w:p>
          <w:p w:rsidR="001F60E2" w:rsidRPr="00122EF8" w:rsidRDefault="001F60E2" w:rsidP="00CF38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F60E2" w:rsidRPr="00122EF8" w:rsidRDefault="00355FC6" w:rsidP="00122EF8">
            <w:pPr>
              <w:jc w:val="center"/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50</w:t>
            </w:r>
          </w:p>
        </w:tc>
        <w:tc>
          <w:tcPr>
            <w:tcW w:w="4536" w:type="dxa"/>
          </w:tcPr>
          <w:p w:rsidR="001F60E2" w:rsidRPr="00122EF8" w:rsidRDefault="001B7C38" w:rsidP="009E5E6D">
            <w:pPr>
              <w:rPr>
                <w:sz w:val="24"/>
                <w:szCs w:val="24"/>
              </w:rPr>
            </w:pPr>
            <w:r w:rsidRPr="00122EF8">
              <w:rPr>
                <w:rFonts w:eastAsia="Calibri"/>
                <w:sz w:val="24"/>
                <w:szCs w:val="24"/>
                <w:lang w:eastAsia="en-US"/>
              </w:rPr>
              <w:t>По состоянию на 01.12.201</w:t>
            </w:r>
            <w:r w:rsidR="009E5E6D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122EF8">
              <w:rPr>
                <w:rFonts w:eastAsia="Calibri"/>
                <w:sz w:val="24"/>
                <w:szCs w:val="24"/>
                <w:lang w:eastAsia="en-US"/>
              </w:rPr>
              <w:t>г. в перечень медицинских организаций, участвующих в реализации Программы государственных гарантий бесплатного оказания гражданам на территории</w:t>
            </w:r>
            <w:r w:rsidR="007A2741" w:rsidRPr="00122EF8">
              <w:rPr>
                <w:rFonts w:eastAsia="Calibri"/>
                <w:sz w:val="24"/>
                <w:szCs w:val="24"/>
                <w:lang w:eastAsia="en-US"/>
              </w:rPr>
              <w:t xml:space="preserve"> МО «Горо</w:t>
            </w:r>
            <w:r w:rsidR="00122EF8">
              <w:rPr>
                <w:rFonts w:eastAsia="Calibri"/>
                <w:sz w:val="24"/>
                <w:szCs w:val="24"/>
                <w:lang w:eastAsia="en-US"/>
              </w:rPr>
              <w:t xml:space="preserve">д Кизилюрт» вошли </w:t>
            </w:r>
            <w:r w:rsidR="007A2741" w:rsidRPr="00122EF8">
              <w:rPr>
                <w:rFonts w:eastAsia="Calibri"/>
                <w:sz w:val="24"/>
                <w:szCs w:val="24"/>
                <w:lang w:eastAsia="en-US"/>
              </w:rPr>
              <w:t>4 организации из 8</w:t>
            </w:r>
            <w:r w:rsidR="00201ED5" w:rsidRPr="00122EF8">
              <w:rPr>
                <w:sz w:val="24"/>
                <w:szCs w:val="24"/>
              </w:rPr>
              <w:t>: ООО «Престиж</w:t>
            </w:r>
            <w:proofErr w:type="gramStart"/>
            <w:r w:rsidR="00201ED5" w:rsidRPr="00122EF8">
              <w:rPr>
                <w:sz w:val="24"/>
                <w:szCs w:val="24"/>
              </w:rPr>
              <w:t xml:space="preserve"> С</w:t>
            </w:r>
            <w:proofErr w:type="gramEnd"/>
            <w:r w:rsidR="00201ED5" w:rsidRPr="00122EF8">
              <w:rPr>
                <w:sz w:val="24"/>
                <w:szCs w:val="24"/>
              </w:rPr>
              <w:t>ам», ООО стоматология «ТаКа», стоматология «Дента-М», ООО «Синтез-Лаб»</w:t>
            </w:r>
          </w:p>
        </w:tc>
      </w:tr>
      <w:tr w:rsidR="001F60E2" w:rsidRPr="00122EF8" w:rsidTr="00CF38FB">
        <w:tc>
          <w:tcPr>
            <w:tcW w:w="675" w:type="dxa"/>
          </w:tcPr>
          <w:p w:rsidR="001F60E2" w:rsidRPr="00026A86" w:rsidRDefault="001F60E2" w:rsidP="00026A86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F60E2" w:rsidRPr="00122EF8" w:rsidRDefault="001F60E2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 xml:space="preserve">Доля негосударственных (немуниципальных) организаций, оказывающих услуги ранней диагностики, специализации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</w:t>
            </w:r>
            <w:r w:rsidRPr="00122EF8">
              <w:rPr>
                <w:sz w:val="24"/>
                <w:szCs w:val="24"/>
              </w:rPr>
              <w:lastRenderedPageBreak/>
              <w:t>детей с ограниченными возможностями здоровья с раннего возраста, процентов</w:t>
            </w:r>
          </w:p>
        </w:tc>
        <w:tc>
          <w:tcPr>
            <w:tcW w:w="1560" w:type="dxa"/>
          </w:tcPr>
          <w:p w:rsidR="001F60E2" w:rsidRPr="00122EF8" w:rsidRDefault="001F60E2" w:rsidP="00122EF8">
            <w:pPr>
              <w:jc w:val="center"/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1F60E2" w:rsidRPr="00122EF8" w:rsidRDefault="00550311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Рынок организаций, оказывающих услуги по реабилитации детей с ограниченными возможностями представлен одним индивидуальным предпринимателем, чья деятельность организована на дому.</w:t>
            </w:r>
          </w:p>
        </w:tc>
      </w:tr>
      <w:tr w:rsidR="001F60E2" w:rsidRPr="00122EF8" w:rsidTr="00CF38FB">
        <w:tc>
          <w:tcPr>
            <w:tcW w:w="675" w:type="dxa"/>
          </w:tcPr>
          <w:p w:rsidR="001F60E2" w:rsidRPr="00026A86" w:rsidRDefault="001F60E2" w:rsidP="00026A86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F60E2" w:rsidRPr="00122EF8" w:rsidRDefault="001F60E2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Доля управляющих организаций, получивших лицензии на осуществление деятельности по управлению многоквартирными домами, процентов</w:t>
            </w:r>
          </w:p>
        </w:tc>
        <w:tc>
          <w:tcPr>
            <w:tcW w:w="1560" w:type="dxa"/>
            <w:vAlign w:val="center"/>
          </w:tcPr>
          <w:p w:rsidR="001F60E2" w:rsidRPr="00122EF8" w:rsidRDefault="001F60E2" w:rsidP="00122EF8">
            <w:pPr>
              <w:jc w:val="center"/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100</w:t>
            </w:r>
          </w:p>
        </w:tc>
        <w:tc>
          <w:tcPr>
            <w:tcW w:w="4536" w:type="dxa"/>
          </w:tcPr>
          <w:p w:rsidR="001F60E2" w:rsidRPr="00122EF8" w:rsidRDefault="00757137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В город</w:t>
            </w:r>
            <w:r w:rsidR="00017346" w:rsidRPr="00122EF8">
              <w:rPr>
                <w:sz w:val="24"/>
                <w:szCs w:val="24"/>
              </w:rPr>
              <w:t>е</w:t>
            </w:r>
            <w:r w:rsidRPr="00122EF8">
              <w:rPr>
                <w:sz w:val="24"/>
                <w:szCs w:val="24"/>
              </w:rPr>
              <w:t xml:space="preserve"> Кизилюрт </w:t>
            </w:r>
            <w:r w:rsidR="00017346" w:rsidRPr="00122EF8">
              <w:rPr>
                <w:sz w:val="24"/>
                <w:szCs w:val="24"/>
              </w:rPr>
              <w:t>д</w:t>
            </w:r>
            <w:r w:rsidR="00C93D58" w:rsidRPr="00122EF8">
              <w:rPr>
                <w:sz w:val="24"/>
                <w:szCs w:val="24"/>
              </w:rPr>
              <w:t>ействуют 4 управляющие компании</w:t>
            </w:r>
            <w:r w:rsidR="00017346" w:rsidRPr="00122EF8">
              <w:rPr>
                <w:sz w:val="24"/>
                <w:szCs w:val="24"/>
              </w:rPr>
              <w:t xml:space="preserve">: </w:t>
            </w:r>
            <w:r w:rsidR="000124CC" w:rsidRPr="00122EF8">
              <w:rPr>
                <w:sz w:val="24"/>
                <w:szCs w:val="24"/>
              </w:rPr>
              <w:t>ООО» Комфорт», ООО «Уют», ООО «Лидер», ОТСЖ 4</w:t>
            </w:r>
            <w:r w:rsidR="00C93D58" w:rsidRPr="00122EF8">
              <w:rPr>
                <w:sz w:val="24"/>
                <w:szCs w:val="24"/>
              </w:rPr>
              <w:t>. Все имеют лицензии на осуществлении соей деятельности.</w:t>
            </w:r>
          </w:p>
        </w:tc>
      </w:tr>
      <w:tr w:rsidR="001F60E2" w:rsidRPr="00122EF8" w:rsidTr="00CF38FB">
        <w:tc>
          <w:tcPr>
            <w:tcW w:w="675" w:type="dxa"/>
          </w:tcPr>
          <w:p w:rsidR="001F60E2" w:rsidRPr="00026A86" w:rsidRDefault="001F60E2" w:rsidP="00026A86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F60E2" w:rsidRPr="00BF2306" w:rsidRDefault="001F60E2" w:rsidP="00CF38FB">
            <w:pPr>
              <w:rPr>
                <w:sz w:val="24"/>
                <w:szCs w:val="24"/>
              </w:rPr>
            </w:pPr>
            <w:r w:rsidRPr="00BF2306">
              <w:rPr>
                <w:sz w:val="24"/>
                <w:szCs w:val="24"/>
              </w:rPr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управления, процентов</w:t>
            </w:r>
          </w:p>
        </w:tc>
        <w:tc>
          <w:tcPr>
            <w:tcW w:w="1560" w:type="dxa"/>
            <w:vAlign w:val="center"/>
          </w:tcPr>
          <w:p w:rsidR="001F60E2" w:rsidRPr="00BF2306" w:rsidRDefault="001F60E2" w:rsidP="00122EF8">
            <w:pPr>
              <w:jc w:val="center"/>
              <w:rPr>
                <w:sz w:val="24"/>
                <w:szCs w:val="24"/>
              </w:rPr>
            </w:pPr>
            <w:r w:rsidRPr="00BF2306">
              <w:rPr>
                <w:sz w:val="24"/>
                <w:szCs w:val="24"/>
              </w:rPr>
              <w:t>80</w:t>
            </w:r>
          </w:p>
        </w:tc>
        <w:tc>
          <w:tcPr>
            <w:tcW w:w="4536" w:type="dxa"/>
          </w:tcPr>
          <w:p w:rsidR="001F60E2" w:rsidRPr="00BF2306" w:rsidRDefault="00086AE6" w:rsidP="00CF38FB">
            <w:pPr>
              <w:rPr>
                <w:sz w:val="24"/>
                <w:szCs w:val="24"/>
              </w:rPr>
            </w:pPr>
            <w:r w:rsidRPr="00BF2306">
              <w:rPr>
                <w:sz w:val="24"/>
                <w:szCs w:val="24"/>
              </w:rPr>
              <w:t xml:space="preserve">Из 5 объектов коммунального хозяйства </w:t>
            </w:r>
            <w:r w:rsidR="005C6BC8" w:rsidRPr="00BF2306">
              <w:rPr>
                <w:sz w:val="24"/>
                <w:szCs w:val="24"/>
              </w:rPr>
              <w:t>4 находятся в концессии</w:t>
            </w:r>
            <w:r w:rsidR="009662FD" w:rsidRPr="00BF2306">
              <w:rPr>
                <w:sz w:val="24"/>
                <w:szCs w:val="24"/>
              </w:rPr>
              <w:t xml:space="preserve"> по результатам открытого конкурса.</w:t>
            </w:r>
          </w:p>
        </w:tc>
      </w:tr>
      <w:tr w:rsidR="001F60E2" w:rsidRPr="00122EF8" w:rsidTr="00CF38FB">
        <w:tc>
          <w:tcPr>
            <w:tcW w:w="675" w:type="dxa"/>
          </w:tcPr>
          <w:p w:rsidR="001F60E2" w:rsidRPr="00026A86" w:rsidRDefault="001F60E2" w:rsidP="00026A86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F60E2" w:rsidRPr="00BF2306" w:rsidRDefault="001F60E2" w:rsidP="00CF38FB">
            <w:pPr>
              <w:rPr>
                <w:sz w:val="24"/>
                <w:szCs w:val="24"/>
              </w:rPr>
            </w:pPr>
            <w:r w:rsidRPr="00BF2306">
              <w:rPr>
                <w:sz w:val="24"/>
                <w:szCs w:val="24"/>
              </w:rP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Федерации, процентов</w:t>
            </w:r>
          </w:p>
        </w:tc>
        <w:tc>
          <w:tcPr>
            <w:tcW w:w="1560" w:type="dxa"/>
            <w:vAlign w:val="center"/>
          </w:tcPr>
          <w:p w:rsidR="001F60E2" w:rsidRPr="00BF2306" w:rsidRDefault="001F60E2" w:rsidP="00122EF8">
            <w:pPr>
              <w:jc w:val="center"/>
              <w:rPr>
                <w:sz w:val="24"/>
                <w:szCs w:val="24"/>
              </w:rPr>
            </w:pPr>
            <w:r w:rsidRPr="00BF2306">
              <w:rPr>
                <w:sz w:val="24"/>
                <w:szCs w:val="24"/>
              </w:rPr>
              <w:t>100</w:t>
            </w:r>
          </w:p>
        </w:tc>
        <w:tc>
          <w:tcPr>
            <w:tcW w:w="4536" w:type="dxa"/>
          </w:tcPr>
          <w:p w:rsidR="001F60E2" w:rsidRPr="00BF2306" w:rsidRDefault="00F13F05" w:rsidP="00CF38FB">
            <w:pPr>
              <w:rPr>
                <w:sz w:val="24"/>
                <w:szCs w:val="24"/>
              </w:rPr>
            </w:pPr>
            <w:r w:rsidRPr="00BF2306">
              <w:rPr>
                <w:sz w:val="24"/>
                <w:szCs w:val="24"/>
              </w:rPr>
              <w:t xml:space="preserve">Информация о деятельности в сфере жилищно-коммунального хозяйства постоянно обновляется. Вся информация по </w:t>
            </w:r>
            <w:r w:rsidR="000C3AC4" w:rsidRPr="00BF2306">
              <w:rPr>
                <w:sz w:val="24"/>
                <w:szCs w:val="24"/>
              </w:rPr>
              <w:t>данному направлению размещается на официальном сайте города, на портале ГИС ЖКХ, на сайте уполномоченных надзорных органах (Жилищная инспекция РД, РСТ РД). Также добавлен отдельный р</w:t>
            </w:r>
            <w:r w:rsidR="001700C8" w:rsidRPr="00BF2306">
              <w:rPr>
                <w:sz w:val="24"/>
                <w:szCs w:val="24"/>
              </w:rPr>
              <w:t xml:space="preserve">аздел </w:t>
            </w:r>
            <w:r w:rsidR="000C3AC4" w:rsidRPr="00BF2306">
              <w:rPr>
                <w:sz w:val="24"/>
                <w:szCs w:val="24"/>
              </w:rPr>
              <w:t xml:space="preserve"> по реализации федеральной программы </w:t>
            </w:r>
            <w:r w:rsidR="001700C8" w:rsidRPr="00BF2306">
              <w:rPr>
                <w:sz w:val="24"/>
                <w:szCs w:val="24"/>
              </w:rPr>
              <w:t>«</w:t>
            </w:r>
            <w:r w:rsidR="000C3AC4" w:rsidRPr="00BF2306">
              <w:rPr>
                <w:sz w:val="24"/>
                <w:szCs w:val="24"/>
              </w:rPr>
              <w:t>комфортная городская среда</w:t>
            </w:r>
            <w:r w:rsidR="001700C8" w:rsidRPr="00BF2306">
              <w:rPr>
                <w:sz w:val="24"/>
                <w:szCs w:val="24"/>
              </w:rPr>
              <w:t>»</w:t>
            </w:r>
          </w:p>
        </w:tc>
      </w:tr>
      <w:tr w:rsidR="001F60E2" w:rsidRPr="00122EF8" w:rsidTr="00CF38FB">
        <w:tc>
          <w:tcPr>
            <w:tcW w:w="675" w:type="dxa"/>
          </w:tcPr>
          <w:p w:rsidR="001F60E2" w:rsidRPr="00026A86" w:rsidRDefault="001F60E2" w:rsidP="00026A86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F60E2" w:rsidRPr="00122EF8" w:rsidRDefault="001F60E2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Доля оборота розничной торговли, осуществляемой на розничных рынках и ярмарках, в структуре оборота розничной торговли по формам торговли, процентов (не менее)</w:t>
            </w:r>
          </w:p>
        </w:tc>
        <w:tc>
          <w:tcPr>
            <w:tcW w:w="1560" w:type="dxa"/>
            <w:vAlign w:val="center"/>
          </w:tcPr>
          <w:p w:rsidR="001F60E2" w:rsidRPr="00122EF8" w:rsidRDefault="00FE0D97" w:rsidP="00122EF8">
            <w:pPr>
              <w:jc w:val="center"/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1</w:t>
            </w:r>
            <w:r w:rsidR="009E5E6D">
              <w:rPr>
                <w:sz w:val="24"/>
                <w:szCs w:val="24"/>
              </w:rPr>
              <w:t>1,</w:t>
            </w:r>
            <w:r w:rsidR="00BF2306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F60E2" w:rsidRPr="00122EF8" w:rsidRDefault="00F50A35" w:rsidP="00BF2306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 xml:space="preserve">Данный показатель вырос </w:t>
            </w:r>
            <w:r w:rsidR="00BF2306">
              <w:rPr>
                <w:sz w:val="24"/>
                <w:szCs w:val="24"/>
              </w:rPr>
              <w:t>на 100,1 %в связи с тем, что  р</w:t>
            </w:r>
            <w:r w:rsidR="00FE0D97" w:rsidRPr="00122EF8">
              <w:rPr>
                <w:sz w:val="24"/>
                <w:szCs w:val="24"/>
              </w:rPr>
              <w:t xml:space="preserve">аспоряжением администрации отведена специальная площадка для осуществления ярмарочной торговли. </w:t>
            </w:r>
          </w:p>
        </w:tc>
      </w:tr>
      <w:tr w:rsidR="001F60E2" w:rsidRPr="00122EF8" w:rsidTr="00CF38FB">
        <w:tc>
          <w:tcPr>
            <w:tcW w:w="675" w:type="dxa"/>
          </w:tcPr>
          <w:p w:rsidR="001F60E2" w:rsidRPr="00026A86" w:rsidRDefault="001F60E2" w:rsidP="00026A86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F60E2" w:rsidRPr="00122EF8" w:rsidRDefault="001F60E2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Доля хозяйствующих субъектов в общем числе опрошенных, считающих, что состояние конкурентной среды в розничной и оптовой торговле улучшилось за истекший год, процентов</w:t>
            </w:r>
          </w:p>
        </w:tc>
        <w:tc>
          <w:tcPr>
            <w:tcW w:w="1560" w:type="dxa"/>
            <w:vAlign w:val="center"/>
          </w:tcPr>
          <w:p w:rsidR="001F60E2" w:rsidRPr="00122EF8" w:rsidRDefault="00BF2306" w:rsidP="00122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536" w:type="dxa"/>
          </w:tcPr>
          <w:p w:rsidR="00AB1550" w:rsidRPr="00122EF8" w:rsidRDefault="00AB1550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 xml:space="preserve">В целях определения состояния конкурентной среды в розничной торговле управлением потребительского рынка и ценовой политики </w:t>
            </w:r>
            <w:r w:rsidR="00275CD3" w:rsidRPr="00122EF8">
              <w:rPr>
                <w:sz w:val="24"/>
                <w:szCs w:val="24"/>
              </w:rPr>
              <w:t xml:space="preserve">МО «Город Кизилюрт» </w:t>
            </w:r>
            <w:r w:rsidRPr="00122EF8">
              <w:rPr>
                <w:sz w:val="24"/>
                <w:szCs w:val="24"/>
              </w:rPr>
              <w:t>проведен оп</w:t>
            </w:r>
            <w:r w:rsidR="008E02E3" w:rsidRPr="00122EF8">
              <w:rPr>
                <w:sz w:val="24"/>
                <w:szCs w:val="24"/>
              </w:rPr>
              <w:t>рос</w:t>
            </w:r>
            <w:r w:rsidR="00275CD3" w:rsidRPr="00122EF8">
              <w:rPr>
                <w:sz w:val="24"/>
                <w:szCs w:val="24"/>
              </w:rPr>
              <w:t>.</w:t>
            </w:r>
          </w:p>
          <w:p w:rsidR="00AB1550" w:rsidRPr="00122EF8" w:rsidRDefault="00AB1550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В опросе приняли участие 100 респондентов, среди которых представители</w:t>
            </w:r>
            <w:r w:rsidR="0088490E" w:rsidRPr="00122EF8">
              <w:rPr>
                <w:sz w:val="24"/>
                <w:szCs w:val="24"/>
              </w:rPr>
              <w:t xml:space="preserve"> мелкооптовых </w:t>
            </w:r>
            <w:r w:rsidRPr="00122EF8">
              <w:rPr>
                <w:sz w:val="24"/>
                <w:szCs w:val="24"/>
              </w:rPr>
              <w:t>магазинов, магазинов шаговой доступности, мелкорозничной сети (киоски, тонары), развозной торговли.</w:t>
            </w:r>
          </w:p>
          <w:p w:rsidR="001F60E2" w:rsidRPr="00122EF8" w:rsidRDefault="00AB1550" w:rsidP="00BF2306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 xml:space="preserve">По результатам опроса более </w:t>
            </w:r>
            <w:r w:rsidR="00BF2306">
              <w:rPr>
                <w:sz w:val="24"/>
                <w:szCs w:val="24"/>
              </w:rPr>
              <w:t>51</w:t>
            </w:r>
            <w:r w:rsidRPr="00122EF8">
              <w:rPr>
                <w:sz w:val="24"/>
                <w:szCs w:val="24"/>
              </w:rPr>
              <w:t xml:space="preserve">% хозяйствующих субъектов, работающих  в сфере розничной торговли, считают, что в </w:t>
            </w:r>
            <w:r w:rsidR="0088490E" w:rsidRPr="00122EF8">
              <w:rPr>
                <w:sz w:val="24"/>
                <w:szCs w:val="24"/>
              </w:rPr>
              <w:t xml:space="preserve"> </w:t>
            </w:r>
            <w:r w:rsidRPr="00122EF8">
              <w:rPr>
                <w:sz w:val="24"/>
                <w:szCs w:val="24"/>
              </w:rPr>
              <w:t xml:space="preserve"> 201</w:t>
            </w:r>
            <w:r w:rsidR="009E5E6D">
              <w:rPr>
                <w:sz w:val="24"/>
                <w:szCs w:val="24"/>
              </w:rPr>
              <w:t>8</w:t>
            </w:r>
            <w:r w:rsidRPr="00122EF8">
              <w:rPr>
                <w:sz w:val="24"/>
                <w:szCs w:val="24"/>
              </w:rPr>
              <w:t xml:space="preserve"> год</w:t>
            </w:r>
            <w:r w:rsidR="0088490E" w:rsidRPr="00122EF8">
              <w:rPr>
                <w:sz w:val="24"/>
                <w:szCs w:val="24"/>
              </w:rPr>
              <w:t>у</w:t>
            </w:r>
            <w:r w:rsidRPr="00122EF8">
              <w:rPr>
                <w:sz w:val="24"/>
                <w:szCs w:val="24"/>
              </w:rPr>
              <w:t xml:space="preserve"> состояние конкурентной </w:t>
            </w:r>
            <w:r w:rsidRPr="00122EF8">
              <w:rPr>
                <w:sz w:val="24"/>
                <w:szCs w:val="24"/>
              </w:rPr>
              <w:lastRenderedPageBreak/>
              <w:t>среды в розничной торговле улучшилось.</w:t>
            </w:r>
          </w:p>
        </w:tc>
      </w:tr>
      <w:tr w:rsidR="001F60E2" w:rsidRPr="00122EF8" w:rsidTr="00CF38FB">
        <w:tc>
          <w:tcPr>
            <w:tcW w:w="675" w:type="dxa"/>
          </w:tcPr>
          <w:p w:rsidR="001F60E2" w:rsidRPr="00026A86" w:rsidRDefault="001F60E2" w:rsidP="00026A86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F60E2" w:rsidRPr="00122EF8" w:rsidRDefault="001F60E2" w:rsidP="00CF38FB">
            <w:pPr>
              <w:rPr>
                <w:sz w:val="24"/>
                <w:szCs w:val="24"/>
              </w:rPr>
            </w:pPr>
            <w:proofErr w:type="gramStart"/>
            <w:r w:rsidRPr="00122EF8">
              <w:rPr>
                <w:sz w:val="24"/>
                <w:szCs w:val="24"/>
              </w:rPr>
              <w:t>Доля оборота "магазинов шаговой доступности" (магазинов у дома) в структуре оборота розничной торговли по формам торговли (в фактически действовавш</w:t>
            </w:r>
            <w:r w:rsidR="009E5E6D">
              <w:rPr>
                <w:sz w:val="24"/>
                <w:szCs w:val="24"/>
              </w:rPr>
              <w:t>их ценах) в г. Кизилюрт   к 2017</w:t>
            </w:r>
            <w:r w:rsidRPr="00122EF8">
              <w:rPr>
                <w:sz w:val="24"/>
                <w:szCs w:val="24"/>
              </w:rPr>
              <w:t xml:space="preserve"> году - не менее 20 процентов от общего оборота розничной торговли </w:t>
            </w:r>
            <w:proofErr w:type="gramEnd"/>
          </w:p>
        </w:tc>
        <w:tc>
          <w:tcPr>
            <w:tcW w:w="1560" w:type="dxa"/>
            <w:vAlign w:val="center"/>
          </w:tcPr>
          <w:p w:rsidR="001F60E2" w:rsidRPr="00122EF8" w:rsidRDefault="00BF2306" w:rsidP="009E5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1F60E2" w:rsidRPr="00122EF8" w:rsidRDefault="00A502DC" w:rsidP="00BF2306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За счет появления новых минимаркетов (</w:t>
            </w:r>
            <w:r w:rsidR="00A163FA" w:rsidRPr="00122EF8">
              <w:rPr>
                <w:sz w:val="24"/>
                <w:szCs w:val="24"/>
              </w:rPr>
              <w:t>«</w:t>
            </w:r>
            <w:proofErr w:type="spellStart"/>
            <w:r w:rsidRPr="00122EF8">
              <w:rPr>
                <w:sz w:val="24"/>
                <w:szCs w:val="24"/>
                <w:lang w:val="en-US"/>
              </w:rPr>
              <w:t>Sadaf</w:t>
            </w:r>
            <w:proofErr w:type="spellEnd"/>
            <w:r w:rsidR="00A163FA" w:rsidRPr="00122EF8">
              <w:rPr>
                <w:sz w:val="24"/>
                <w:szCs w:val="24"/>
              </w:rPr>
              <w:t>»</w:t>
            </w:r>
            <w:r w:rsidRPr="00122EF8">
              <w:rPr>
                <w:sz w:val="24"/>
                <w:szCs w:val="24"/>
              </w:rPr>
              <w:t xml:space="preserve">, </w:t>
            </w:r>
            <w:r w:rsidR="00A163FA" w:rsidRPr="00122EF8">
              <w:rPr>
                <w:sz w:val="24"/>
                <w:szCs w:val="24"/>
              </w:rPr>
              <w:t>«</w:t>
            </w:r>
            <w:r w:rsidRPr="00122EF8">
              <w:rPr>
                <w:sz w:val="24"/>
                <w:szCs w:val="24"/>
              </w:rPr>
              <w:t>ГУРМЭ</w:t>
            </w:r>
            <w:r w:rsidR="00A163FA" w:rsidRPr="00122EF8">
              <w:rPr>
                <w:sz w:val="24"/>
                <w:szCs w:val="24"/>
              </w:rPr>
              <w:t>»</w:t>
            </w:r>
            <w:r w:rsidRPr="00122EF8">
              <w:rPr>
                <w:sz w:val="24"/>
                <w:szCs w:val="24"/>
              </w:rPr>
              <w:t xml:space="preserve">, </w:t>
            </w:r>
            <w:r w:rsidR="00A163FA" w:rsidRPr="00122EF8">
              <w:rPr>
                <w:sz w:val="24"/>
                <w:szCs w:val="24"/>
              </w:rPr>
              <w:t>«Экономный», «Фаворит»)</w:t>
            </w:r>
            <w:proofErr w:type="gramStart"/>
            <w:r w:rsidR="00A163FA" w:rsidRPr="00122EF8">
              <w:rPr>
                <w:sz w:val="24"/>
                <w:szCs w:val="24"/>
              </w:rPr>
              <w:t xml:space="preserve"> </w:t>
            </w:r>
            <w:r w:rsidR="00BF2306">
              <w:rPr>
                <w:sz w:val="24"/>
                <w:szCs w:val="24"/>
              </w:rPr>
              <w:t>,</w:t>
            </w:r>
            <w:proofErr w:type="gramEnd"/>
            <w:r w:rsidR="00BF2306">
              <w:rPr>
                <w:sz w:val="24"/>
                <w:szCs w:val="24"/>
              </w:rPr>
              <w:t xml:space="preserve"> «Гента» </w:t>
            </w:r>
            <w:r w:rsidR="00872B0A" w:rsidRPr="00122EF8">
              <w:rPr>
                <w:sz w:val="24"/>
                <w:szCs w:val="24"/>
              </w:rPr>
              <w:t xml:space="preserve">произошел рост данного показателя до </w:t>
            </w:r>
            <w:r w:rsidR="00BF2306">
              <w:rPr>
                <w:sz w:val="24"/>
                <w:szCs w:val="24"/>
              </w:rPr>
              <w:t>32</w:t>
            </w:r>
            <w:r w:rsidR="00872B0A" w:rsidRPr="00122EF8">
              <w:rPr>
                <w:sz w:val="24"/>
                <w:szCs w:val="24"/>
              </w:rPr>
              <w:t>%</w:t>
            </w:r>
          </w:p>
        </w:tc>
      </w:tr>
      <w:tr w:rsidR="001F60E2" w:rsidRPr="00122EF8" w:rsidTr="00CF38FB">
        <w:tc>
          <w:tcPr>
            <w:tcW w:w="675" w:type="dxa"/>
          </w:tcPr>
          <w:p w:rsidR="001F60E2" w:rsidRPr="00026A86" w:rsidRDefault="001F60E2" w:rsidP="00026A86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F60E2" w:rsidRPr="00122EF8" w:rsidRDefault="001F60E2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продукцией, в  муниципальном образовании   к 2016 году - не менее 90 процентов</w:t>
            </w:r>
          </w:p>
        </w:tc>
        <w:tc>
          <w:tcPr>
            <w:tcW w:w="1560" w:type="dxa"/>
            <w:vAlign w:val="center"/>
          </w:tcPr>
          <w:p w:rsidR="001F60E2" w:rsidRPr="00122EF8" w:rsidRDefault="001F60E2" w:rsidP="00122EF8">
            <w:pPr>
              <w:jc w:val="center"/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9</w:t>
            </w:r>
            <w:r w:rsidR="00D3006D" w:rsidRPr="00122EF8">
              <w:rPr>
                <w:sz w:val="24"/>
                <w:szCs w:val="24"/>
              </w:rPr>
              <w:t>6</w:t>
            </w:r>
            <w:r w:rsidR="00BF2306">
              <w:rPr>
                <w:sz w:val="24"/>
                <w:szCs w:val="24"/>
              </w:rPr>
              <w:t>,2</w:t>
            </w:r>
          </w:p>
        </w:tc>
        <w:tc>
          <w:tcPr>
            <w:tcW w:w="4536" w:type="dxa"/>
          </w:tcPr>
          <w:p w:rsidR="001F60E2" w:rsidRPr="00122EF8" w:rsidRDefault="00112F8A" w:rsidP="00BF2306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Рынок аптечных организаций в городе представлен 1 государственной и 2</w:t>
            </w:r>
            <w:r w:rsidR="00BF2306">
              <w:rPr>
                <w:sz w:val="24"/>
                <w:szCs w:val="24"/>
              </w:rPr>
              <w:t>6</w:t>
            </w:r>
            <w:r w:rsidRPr="00122EF8">
              <w:rPr>
                <w:sz w:val="24"/>
                <w:szCs w:val="24"/>
              </w:rPr>
              <w:t xml:space="preserve"> негосударственными аптеками. Соответственно </w:t>
            </w:r>
            <w:proofErr w:type="gramStart"/>
            <w:r w:rsidR="00D3006D" w:rsidRPr="00122EF8">
              <w:rPr>
                <w:sz w:val="24"/>
                <w:szCs w:val="24"/>
              </w:rPr>
              <w:t>доля,</w:t>
            </w:r>
            <w:r w:rsidRPr="00122EF8">
              <w:rPr>
                <w:sz w:val="24"/>
                <w:szCs w:val="24"/>
              </w:rPr>
              <w:t xml:space="preserve"> занимаемая негосударственными организациями составляет</w:t>
            </w:r>
            <w:proofErr w:type="gramEnd"/>
            <w:r w:rsidRPr="00122EF8">
              <w:rPr>
                <w:sz w:val="24"/>
                <w:szCs w:val="24"/>
              </w:rPr>
              <w:t xml:space="preserve"> </w:t>
            </w:r>
            <w:r w:rsidR="00D3006D" w:rsidRPr="00122EF8">
              <w:rPr>
                <w:sz w:val="24"/>
                <w:szCs w:val="24"/>
              </w:rPr>
              <w:t>96</w:t>
            </w:r>
            <w:r w:rsidR="00BF2306">
              <w:rPr>
                <w:sz w:val="24"/>
                <w:szCs w:val="24"/>
              </w:rPr>
              <w:t>,2</w:t>
            </w:r>
            <w:r w:rsidR="00D3006D" w:rsidRPr="00122EF8">
              <w:rPr>
                <w:sz w:val="24"/>
                <w:szCs w:val="24"/>
              </w:rPr>
              <w:t xml:space="preserve"> %</w:t>
            </w:r>
          </w:p>
        </w:tc>
      </w:tr>
      <w:tr w:rsidR="00C85CBB" w:rsidRPr="00122EF8" w:rsidTr="00CF38FB">
        <w:tc>
          <w:tcPr>
            <w:tcW w:w="675" w:type="dxa"/>
          </w:tcPr>
          <w:p w:rsidR="00C85CBB" w:rsidRPr="00026A86" w:rsidRDefault="00C85CBB" w:rsidP="00026A86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85CBB" w:rsidRPr="00122EF8" w:rsidRDefault="00C85CBB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 муниципальном образовании   к 2016 году - не менее 75 процентов</w:t>
            </w:r>
          </w:p>
        </w:tc>
        <w:tc>
          <w:tcPr>
            <w:tcW w:w="1560" w:type="dxa"/>
            <w:vAlign w:val="center"/>
          </w:tcPr>
          <w:p w:rsidR="00C85CBB" w:rsidRPr="00122EF8" w:rsidRDefault="00C85CBB" w:rsidP="00122EF8">
            <w:pPr>
              <w:jc w:val="center"/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100</w:t>
            </w:r>
          </w:p>
        </w:tc>
        <w:tc>
          <w:tcPr>
            <w:tcW w:w="4536" w:type="dxa"/>
            <w:vMerge w:val="restart"/>
          </w:tcPr>
          <w:p w:rsidR="00C85CBB" w:rsidRPr="00122EF8" w:rsidRDefault="00C85CBB" w:rsidP="00CF38FB">
            <w:pPr>
              <w:rPr>
                <w:sz w:val="24"/>
                <w:szCs w:val="24"/>
              </w:rPr>
            </w:pPr>
          </w:p>
          <w:p w:rsidR="00C85CBB" w:rsidRPr="00122EF8" w:rsidRDefault="00C85CBB" w:rsidP="00CF38FB">
            <w:pPr>
              <w:rPr>
                <w:sz w:val="24"/>
                <w:szCs w:val="24"/>
              </w:rPr>
            </w:pPr>
          </w:p>
          <w:p w:rsidR="00C85CBB" w:rsidRPr="00122EF8" w:rsidRDefault="00C85CBB" w:rsidP="00CF38FB">
            <w:pPr>
              <w:rPr>
                <w:sz w:val="24"/>
                <w:szCs w:val="24"/>
              </w:rPr>
            </w:pPr>
          </w:p>
          <w:p w:rsidR="00C85CBB" w:rsidRPr="00122EF8" w:rsidRDefault="00C85CBB" w:rsidP="00CF38FB">
            <w:pPr>
              <w:rPr>
                <w:sz w:val="24"/>
                <w:szCs w:val="24"/>
              </w:rPr>
            </w:pPr>
          </w:p>
          <w:p w:rsidR="00C85CBB" w:rsidRPr="00122EF8" w:rsidRDefault="00C85CBB" w:rsidP="00CF38FB">
            <w:pPr>
              <w:rPr>
                <w:sz w:val="24"/>
                <w:szCs w:val="24"/>
              </w:rPr>
            </w:pPr>
          </w:p>
          <w:p w:rsidR="00C85CBB" w:rsidRPr="00122EF8" w:rsidRDefault="00C85CBB" w:rsidP="00CF38FB">
            <w:pPr>
              <w:rPr>
                <w:sz w:val="24"/>
                <w:szCs w:val="24"/>
              </w:rPr>
            </w:pPr>
          </w:p>
          <w:p w:rsidR="00C85CBB" w:rsidRPr="00122EF8" w:rsidRDefault="00C85CBB" w:rsidP="00CF38FB">
            <w:pPr>
              <w:rPr>
                <w:sz w:val="24"/>
                <w:szCs w:val="24"/>
              </w:rPr>
            </w:pPr>
          </w:p>
          <w:p w:rsidR="00C85CBB" w:rsidRPr="00122EF8" w:rsidRDefault="00C85CBB" w:rsidP="00CF38FB">
            <w:pPr>
              <w:rPr>
                <w:sz w:val="24"/>
                <w:szCs w:val="24"/>
              </w:rPr>
            </w:pPr>
          </w:p>
          <w:p w:rsidR="00C85CBB" w:rsidRPr="00122EF8" w:rsidRDefault="00C85CBB" w:rsidP="00CF38FB">
            <w:pPr>
              <w:rPr>
                <w:sz w:val="24"/>
                <w:szCs w:val="24"/>
              </w:rPr>
            </w:pPr>
          </w:p>
          <w:p w:rsidR="00C85CBB" w:rsidRPr="00122EF8" w:rsidRDefault="00C85CBB" w:rsidP="00CF38FB">
            <w:pPr>
              <w:rPr>
                <w:sz w:val="24"/>
                <w:szCs w:val="24"/>
              </w:rPr>
            </w:pPr>
          </w:p>
          <w:p w:rsidR="00C85CBB" w:rsidRPr="00122EF8" w:rsidRDefault="00C85CBB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На протяжении длительного времени обеспечиваются равные условия доступа на указанный рынок услуг перевозчиков независимо от их организационно-правовых форм и форм собственности. Результатом этого стало существенное перевыполнение целевых значений показателей,  рекомендованных Стандартом.</w:t>
            </w:r>
          </w:p>
          <w:p w:rsidR="00C85CBB" w:rsidRPr="00122EF8" w:rsidRDefault="00C85CBB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Перевозки пассажиров наземным транспортом осуществляются н</w:t>
            </w:r>
            <w:r w:rsidR="006B2B1D" w:rsidRPr="00122EF8">
              <w:rPr>
                <w:sz w:val="24"/>
                <w:szCs w:val="24"/>
              </w:rPr>
              <w:t>егосударственными перевозчиками (ООО «Кизилюртавтотранс», ООО «Кизилюртовское АТП»</w:t>
            </w:r>
            <w:r w:rsidR="00424DDD" w:rsidRPr="00122EF8">
              <w:rPr>
                <w:sz w:val="24"/>
                <w:szCs w:val="24"/>
              </w:rPr>
              <w:t>, Индивидуальные предприниматели</w:t>
            </w:r>
            <w:r w:rsidR="00122EF8">
              <w:rPr>
                <w:sz w:val="24"/>
                <w:szCs w:val="24"/>
              </w:rPr>
              <w:t xml:space="preserve"> </w:t>
            </w:r>
            <w:r w:rsidR="00424DDD" w:rsidRPr="00122EF8">
              <w:rPr>
                <w:sz w:val="24"/>
                <w:szCs w:val="24"/>
              </w:rPr>
              <w:t>- таксомоторные перевозки)</w:t>
            </w:r>
          </w:p>
          <w:p w:rsidR="00C85CBB" w:rsidRPr="00122EF8" w:rsidRDefault="00C85CBB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 xml:space="preserve"> </w:t>
            </w:r>
          </w:p>
          <w:p w:rsidR="00C85CBB" w:rsidRPr="00122EF8" w:rsidRDefault="00C85CBB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 xml:space="preserve"> </w:t>
            </w:r>
          </w:p>
        </w:tc>
      </w:tr>
      <w:tr w:rsidR="00C85CBB" w:rsidRPr="00122EF8" w:rsidTr="00CF38FB">
        <w:tc>
          <w:tcPr>
            <w:tcW w:w="675" w:type="dxa"/>
          </w:tcPr>
          <w:p w:rsidR="00C85CBB" w:rsidRPr="00026A86" w:rsidRDefault="00C85CBB" w:rsidP="00026A86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85CBB" w:rsidRPr="00122EF8" w:rsidRDefault="00C85CBB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 муниципальном образовании   к 2016 году - не менее 75  процентов</w:t>
            </w:r>
          </w:p>
        </w:tc>
        <w:tc>
          <w:tcPr>
            <w:tcW w:w="1560" w:type="dxa"/>
            <w:vAlign w:val="center"/>
          </w:tcPr>
          <w:p w:rsidR="00C85CBB" w:rsidRPr="00122EF8" w:rsidRDefault="00C85CBB" w:rsidP="00122EF8">
            <w:pPr>
              <w:jc w:val="center"/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100</w:t>
            </w:r>
          </w:p>
        </w:tc>
        <w:tc>
          <w:tcPr>
            <w:tcW w:w="4536" w:type="dxa"/>
            <w:vMerge/>
          </w:tcPr>
          <w:p w:rsidR="00C85CBB" w:rsidRPr="00122EF8" w:rsidRDefault="00C85CBB" w:rsidP="00CF38FB">
            <w:pPr>
              <w:rPr>
                <w:sz w:val="24"/>
                <w:szCs w:val="24"/>
              </w:rPr>
            </w:pPr>
          </w:p>
        </w:tc>
      </w:tr>
      <w:tr w:rsidR="00C85CBB" w:rsidRPr="00122EF8" w:rsidTr="00CF38FB">
        <w:tc>
          <w:tcPr>
            <w:tcW w:w="675" w:type="dxa"/>
          </w:tcPr>
          <w:p w:rsidR="00C85CBB" w:rsidRPr="00026A86" w:rsidRDefault="00C85CBB" w:rsidP="00026A86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85CBB" w:rsidRDefault="00C85CBB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 xml:space="preserve"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 по межмуниципальным маршрутам регулярных перевозок </w:t>
            </w:r>
            <w:r w:rsidRPr="00122EF8">
              <w:rPr>
                <w:sz w:val="24"/>
                <w:szCs w:val="24"/>
              </w:rPr>
              <w:lastRenderedPageBreak/>
              <w:t>пассажиров наземным транспортом в  муниципальном образовании    к 2016 году - не менее 50 процентов</w:t>
            </w:r>
          </w:p>
          <w:p w:rsidR="00BF2306" w:rsidRPr="00122EF8" w:rsidRDefault="00BF2306" w:rsidP="00CF38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5CBB" w:rsidRPr="00122EF8" w:rsidRDefault="00C85CBB" w:rsidP="00122EF8">
            <w:pPr>
              <w:jc w:val="center"/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4536" w:type="dxa"/>
            <w:vMerge/>
          </w:tcPr>
          <w:p w:rsidR="00C85CBB" w:rsidRPr="00122EF8" w:rsidRDefault="00C85CBB" w:rsidP="00CF38FB">
            <w:pPr>
              <w:rPr>
                <w:sz w:val="24"/>
                <w:szCs w:val="24"/>
              </w:rPr>
            </w:pPr>
          </w:p>
        </w:tc>
      </w:tr>
      <w:tr w:rsidR="001F60E2" w:rsidRPr="00122EF8" w:rsidTr="00CF38FB">
        <w:tc>
          <w:tcPr>
            <w:tcW w:w="675" w:type="dxa"/>
          </w:tcPr>
          <w:p w:rsidR="001F60E2" w:rsidRPr="00026A86" w:rsidRDefault="001F60E2" w:rsidP="00026A86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F60E2" w:rsidRPr="00122EF8" w:rsidRDefault="001F60E2" w:rsidP="00CF38FB">
            <w:pPr>
              <w:rPr>
                <w:sz w:val="24"/>
                <w:szCs w:val="24"/>
              </w:rPr>
            </w:pPr>
            <w:r w:rsidRPr="00122EF8">
              <w:rPr>
                <w:sz w:val="24"/>
                <w:szCs w:val="24"/>
              </w:rPr>
              <w:t>Доля домохозяйств, имеющих возможность пользоваться услугами проводного или мобильного ШПД в информационно-телекоммуникационную сеть "Интернет" на скорости не менее 1 Мбит/с, предоставляемыми не менее чем 2 операторами связи, процентов</w:t>
            </w:r>
          </w:p>
        </w:tc>
        <w:tc>
          <w:tcPr>
            <w:tcW w:w="1560" w:type="dxa"/>
            <w:vAlign w:val="center"/>
          </w:tcPr>
          <w:p w:rsidR="001F60E2" w:rsidRPr="00122EF8" w:rsidRDefault="00BF2306" w:rsidP="00122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4536" w:type="dxa"/>
          </w:tcPr>
          <w:p w:rsidR="004B1C19" w:rsidRPr="00BF2306" w:rsidRDefault="00BF2306" w:rsidP="00CF38F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F2306">
              <w:rPr>
                <w:rFonts w:eastAsia="Calibri"/>
                <w:sz w:val="24"/>
                <w:szCs w:val="24"/>
                <w:lang w:eastAsia="en-US"/>
              </w:rPr>
              <w:t>Из 11603</w:t>
            </w:r>
            <w:r w:rsidR="004B1C19" w:rsidRPr="00BF2306">
              <w:rPr>
                <w:rFonts w:eastAsia="Calibri"/>
                <w:sz w:val="24"/>
                <w:szCs w:val="24"/>
                <w:lang w:eastAsia="en-US"/>
              </w:rPr>
              <w:t>домовладения 82</w:t>
            </w:r>
            <w:r w:rsidRPr="00BF2306">
              <w:rPr>
                <w:rFonts w:eastAsia="Calibri"/>
                <w:sz w:val="24"/>
                <w:szCs w:val="24"/>
                <w:lang w:eastAsia="en-US"/>
              </w:rPr>
              <w:t>61</w:t>
            </w:r>
            <w:r w:rsidR="004B1C19" w:rsidRPr="00BF2306">
              <w:rPr>
                <w:rFonts w:eastAsia="Calibri"/>
                <w:sz w:val="24"/>
                <w:szCs w:val="24"/>
                <w:lang w:eastAsia="en-US"/>
              </w:rPr>
              <w:t xml:space="preserve"> имеют выход в глобальную сеть.</w:t>
            </w:r>
          </w:p>
          <w:p w:rsidR="003B2EB7" w:rsidRPr="00BF2306" w:rsidRDefault="003B2EB7" w:rsidP="00CF38F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F2306">
              <w:rPr>
                <w:rFonts w:eastAsia="Calibri"/>
                <w:sz w:val="24"/>
                <w:szCs w:val="24"/>
                <w:lang w:eastAsia="en-US"/>
              </w:rPr>
              <w:t>Отделом экономики проводится ежеквартальный мониторинг обеспечения территории широкополосным доступом в информационно-телекоммуникационную сеть «Интернет» с участием операторов связи, действующих на территории города</w:t>
            </w:r>
            <w:r w:rsidR="00122EF8" w:rsidRPr="00BF230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1F60E2" w:rsidRPr="00BF2306" w:rsidRDefault="003B2EB7" w:rsidP="00CF38FB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BF2306">
              <w:rPr>
                <w:rFonts w:eastAsia="Calibri"/>
                <w:sz w:val="24"/>
                <w:szCs w:val="24"/>
                <w:lang w:eastAsia="en-US"/>
              </w:rPr>
              <w:t xml:space="preserve">По результатам мониторинга основным оператором связи, предоставляющим услуги высокоскоростного доступа в сеть Интернет и передачи данных, является </w:t>
            </w:r>
            <w:r w:rsidR="001E1FE6" w:rsidRPr="00BF2306">
              <w:rPr>
                <w:rFonts w:eastAsia="Calibri"/>
                <w:sz w:val="24"/>
                <w:szCs w:val="24"/>
                <w:lang w:val="en-US" w:eastAsia="en-US"/>
              </w:rPr>
              <w:t>SKYNET</w:t>
            </w:r>
            <w:r w:rsidR="001E1FE6" w:rsidRPr="00BF2306">
              <w:rPr>
                <w:rFonts w:eastAsia="Calibri"/>
                <w:sz w:val="24"/>
                <w:szCs w:val="24"/>
                <w:lang w:eastAsia="en-US"/>
              </w:rPr>
              <w:t xml:space="preserve">, ПАО «Ростелеком», </w:t>
            </w:r>
            <w:r w:rsidR="001E1FE6" w:rsidRPr="00BF2306">
              <w:rPr>
                <w:rFonts w:eastAsia="Calibri"/>
                <w:sz w:val="24"/>
                <w:szCs w:val="24"/>
                <w:lang w:val="en-US" w:eastAsia="en-US"/>
              </w:rPr>
              <w:t>Online</w:t>
            </w:r>
            <w:r w:rsidR="001E1FE6" w:rsidRPr="00BF2306">
              <w:rPr>
                <w:rFonts w:eastAsia="Calibri"/>
                <w:sz w:val="24"/>
                <w:szCs w:val="24"/>
                <w:lang w:eastAsia="en-US"/>
              </w:rPr>
              <w:t>, Маяк</w:t>
            </w:r>
            <w:r w:rsidR="00BA2781" w:rsidRPr="00BF2306">
              <w:rPr>
                <w:rFonts w:eastAsia="Calibri"/>
                <w:sz w:val="24"/>
                <w:szCs w:val="24"/>
                <w:lang w:eastAsia="en-US"/>
              </w:rPr>
              <w:t>. Рынок интернета представлен также такими провайдерами как: Мегафон, М</w:t>
            </w:r>
            <w:r w:rsidR="00026A86">
              <w:rPr>
                <w:rFonts w:eastAsia="Calibri"/>
                <w:sz w:val="24"/>
                <w:szCs w:val="24"/>
                <w:lang w:eastAsia="en-US"/>
              </w:rPr>
              <w:t>ТС, Би</w:t>
            </w:r>
            <w:r w:rsidR="00BA2781" w:rsidRPr="00BF2306">
              <w:rPr>
                <w:rFonts w:eastAsia="Calibri"/>
                <w:sz w:val="24"/>
                <w:szCs w:val="24"/>
                <w:lang w:eastAsia="en-US"/>
              </w:rPr>
              <w:t xml:space="preserve">лайн, </w:t>
            </w:r>
            <w:r w:rsidR="00BA2781" w:rsidRPr="00BF2306">
              <w:rPr>
                <w:rFonts w:eastAsia="Calibri"/>
                <w:sz w:val="24"/>
                <w:szCs w:val="24"/>
                <w:lang w:val="en-US" w:eastAsia="en-US"/>
              </w:rPr>
              <w:t>YOTA</w:t>
            </w:r>
          </w:p>
        </w:tc>
      </w:tr>
    </w:tbl>
    <w:p w:rsidR="000C3BC1" w:rsidRPr="00122EF8" w:rsidRDefault="000C3BC1" w:rsidP="00CF38FB">
      <w:pPr>
        <w:rPr>
          <w:sz w:val="24"/>
          <w:szCs w:val="24"/>
        </w:rPr>
      </w:pPr>
    </w:p>
    <w:sectPr w:rsidR="000C3BC1" w:rsidRPr="00122EF8" w:rsidSect="001F60E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39B2"/>
    <w:multiLevelType w:val="hybridMultilevel"/>
    <w:tmpl w:val="53486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41E29"/>
    <w:multiLevelType w:val="hybridMultilevel"/>
    <w:tmpl w:val="637E7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3691E"/>
    <w:multiLevelType w:val="hybridMultilevel"/>
    <w:tmpl w:val="8C2616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83D7B"/>
    <w:multiLevelType w:val="hybridMultilevel"/>
    <w:tmpl w:val="B700E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F7B4E"/>
    <w:multiLevelType w:val="hybridMultilevel"/>
    <w:tmpl w:val="49605518"/>
    <w:lvl w:ilvl="0" w:tplc="7D9A14F8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60E2"/>
    <w:rsid w:val="000124CC"/>
    <w:rsid w:val="00014C7D"/>
    <w:rsid w:val="00017346"/>
    <w:rsid w:val="00026A86"/>
    <w:rsid w:val="000443E8"/>
    <w:rsid w:val="00060C23"/>
    <w:rsid w:val="0006486C"/>
    <w:rsid w:val="00086AE6"/>
    <w:rsid w:val="00095A7E"/>
    <w:rsid w:val="000C2E6F"/>
    <w:rsid w:val="000C3AC4"/>
    <w:rsid w:val="000C3BC1"/>
    <w:rsid w:val="000E069F"/>
    <w:rsid w:val="000E1F89"/>
    <w:rsid w:val="00112F8A"/>
    <w:rsid w:val="00122EF8"/>
    <w:rsid w:val="0014582A"/>
    <w:rsid w:val="001700C8"/>
    <w:rsid w:val="001B7C38"/>
    <w:rsid w:val="001E1FE6"/>
    <w:rsid w:val="001F60E2"/>
    <w:rsid w:val="00201ED5"/>
    <w:rsid w:val="00242E3E"/>
    <w:rsid w:val="002443EF"/>
    <w:rsid w:val="00275CD3"/>
    <w:rsid w:val="002A60B5"/>
    <w:rsid w:val="002A7D25"/>
    <w:rsid w:val="00307A04"/>
    <w:rsid w:val="00355157"/>
    <w:rsid w:val="00355FC6"/>
    <w:rsid w:val="00356626"/>
    <w:rsid w:val="00390555"/>
    <w:rsid w:val="003B2EB7"/>
    <w:rsid w:val="00407121"/>
    <w:rsid w:val="00410441"/>
    <w:rsid w:val="00415A2F"/>
    <w:rsid w:val="00424DDD"/>
    <w:rsid w:val="00441A3D"/>
    <w:rsid w:val="004B1C19"/>
    <w:rsid w:val="00550311"/>
    <w:rsid w:val="0056217A"/>
    <w:rsid w:val="00576CF2"/>
    <w:rsid w:val="00580710"/>
    <w:rsid w:val="005C6BC8"/>
    <w:rsid w:val="006B2B1D"/>
    <w:rsid w:val="006F4E7E"/>
    <w:rsid w:val="007325A0"/>
    <w:rsid w:val="007338EC"/>
    <w:rsid w:val="00757137"/>
    <w:rsid w:val="00783E7D"/>
    <w:rsid w:val="007A2741"/>
    <w:rsid w:val="008240BB"/>
    <w:rsid w:val="008374FD"/>
    <w:rsid w:val="00837D26"/>
    <w:rsid w:val="008436AC"/>
    <w:rsid w:val="008436E5"/>
    <w:rsid w:val="00872723"/>
    <w:rsid w:val="00872B0A"/>
    <w:rsid w:val="0088490E"/>
    <w:rsid w:val="008A2DC1"/>
    <w:rsid w:val="008A5A5B"/>
    <w:rsid w:val="008D7CC1"/>
    <w:rsid w:val="008E02E3"/>
    <w:rsid w:val="009042F6"/>
    <w:rsid w:val="00945B6E"/>
    <w:rsid w:val="009662FD"/>
    <w:rsid w:val="009D6E38"/>
    <w:rsid w:val="009E5E6D"/>
    <w:rsid w:val="009F6717"/>
    <w:rsid w:val="00A163FA"/>
    <w:rsid w:val="00A31D35"/>
    <w:rsid w:val="00A502DC"/>
    <w:rsid w:val="00AB1550"/>
    <w:rsid w:val="00AE2030"/>
    <w:rsid w:val="00AE5BBA"/>
    <w:rsid w:val="00B055EA"/>
    <w:rsid w:val="00B60E28"/>
    <w:rsid w:val="00B628C1"/>
    <w:rsid w:val="00B76E7D"/>
    <w:rsid w:val="00BA2781"/>
    <w:rsid w:val="00BA2805"/>
    <w:rsid w:val="00BF2306"/>
    <w:rsid w:val="00C85CBB"/>
    <w:rsid w:val="00C93D58"/>
    <w:rsid w:val="00CC570C"/>
    <w:rsid w:val="00CF38FB"/>
    <w:rsid w:val="00D3006D"/>
    <w:rsid w:val="00D36D88"/>
    <w:rsid w:val="00D70102"/>
    <w:rsid w:val="00DA52C9"/>
    <w:rsid w:val="00DC56B3"/>
    <w:rsid w:val="00DE2CC4"/>
    <w:rsid w:val="00DE515F"/>
    <w:rsid w:val="00E3677F"/>
    <w:rsid w:val="00E36A5C"/>
    <w:rsid w:val="00E44CAA"/>
    <w:rsid w:val="00E46990"/>
    <w:rsid w:val="00E9391C"/>
    <w:rsid w:val="00EC5820"/>
    <w:rsid w:val="00ED2A5B"/>
    <w:rsid w:val="00F13F05"/>
    <w:rsid w:val="00F20318"/>
    <w:rsid w:val="00F344A7"/>
    <w:rsid w:val="00F50A35"/>
    <w:rsid w:val="00FC102A"/>
    <w:rsid w:val="00FE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0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1550"/>
    <w:pPr>
      <w:ind w:firstLine="851"/>
      <w:jc w:val="both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5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6A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Батыр_КМ</dc:creator>
  <cp:lastModifiedBy>Мариана</cp:lastModifiedBy>
  <cp:revision>3</cp:revision>
  <cp:lastPrinted>2019-02-04T08:15:00Z</cp:lastPrinted>
  <dcterms:created xsi:type="dcterms:W3CDTF">2019-02-06T12:36:00Z</dcterms:created>
  <dcterms:modified xsi:type="dcterms:W3CDTF">2019-02-06T13:01:00Z</dcterms:modified>
</cp:coreProperties>
</file>